
<file path=[Content_Types].xml><?xml version="1.0" encoding="utf-8"?>
<Types xmlns="http://schemas.openxmlformats.org/package/2006/content-types">
  <Default Extension="xml" ContentType="application/xml"/>
  <Default Extension="xlsx" ContentType="application/vnd.openxmlformats-officedocument.spreadsheetml.sheet"/>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colors5.xml" ContentType="application/vnd.ms-office.chartcolorstyle+xml"/>
  <Override PartName="/word/charts/colors6.xml" ContentType="application/vnd.ms-office.chartcolorstyle+xml"/>
  <Override PartName="/word/charts/colors7.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charts/style5.xml" ContentType="application/vnd.ms-office.chartstyle+xml"/>
  <Override PartName="/word/charts/style6.xml" ContentType="application/vnd.ms-office.chartstyle+xml"/>
  <Override PartName="/word/charts/style7.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600" w:lineRule="exact"/>
        <w:jc w:val="left"/>
        <w:outlineLvl w:val="0"/>
        <w:rPr>
          <w:rFonts w:hint="eastAsia" w:ascii="微软雅黑" w:hAnsi="微软雅黑" w:eastAsia="微软雅黑" w:cs="微软雅黑"/>
          <w:sz w:val="28"/>
          <w:szCs w:val="28"/>
        </w:rPr>
      </w:pPr>
      <w:bookmarkStart w:id="0" w:name="_Toc15072"/>
      <w:bookmarkStart w:id="1" w:name="_Toc15306267"/>
      <w:r>
        <w:rPr>
          <w:rFonts w:hint="eastAsia" w:ascii="微软雅黑" w:hAnsi="微软雅黑" w:eastAsia="微软雅黑" w:cs="微软雅黑"/>
          <w:sz w:val="28"/>
          <w:szCs w:val="28"/>
        </w:rPr>
        <w:t>附 件 4</w:t>
      </w:r>
      <w:bookmarkEnd w:id="0"/>
    </w:p>
    <w:p>
      <w:pPr>
        <w:spacing w:line="600" w:lineRule="exact"/>
        <w:jc w:val="left"/>
        <w:outlineLvl w:val="0"/>
        <w:rPr>
          <w:rFonts w:hint="eastAsia" w:ascii="微软雅黑" w:hAnsi="微软雅黑" w:eastAsia="微软雅黑" w:cs="微软雅黑"/>
          <w:szCs w:val="21"/>
        </w:rPr>
      </w:pPr>
    </w:p>
    <w:p>
      <w:pPr>
        <w:spacing w:line="600" w:lineRule="exact"/>
        <w:jc w:val="center"/>
        <w:outlineLvl w:val="0"/>
        <w:rPr>
          <w:rFonts w:hint="eastAsia" w:ascii="微软雅黑" w:hAnsi="微软雅黑" w:eastAsia="微软雅黑" w:cs="微软雅黑"/>
          <w:sz w:val="72"/>
          <w:szCs w:val="72"/>
        </w:rPr>
      </w:pPr>
    </w:p>
    <w:p>
      <w:pPr>
        <w:spacing w:line="600" w:lineRule="exact"/>
        <w:jc w:val="center"/>
        <w:outlineLvl w:val="0"/>
        <w:rPr>
          <w:rFonts w:hint="eastAsia" w:ascii="微软雅黑" w:hAnsi="微软雅黑" w:eastAsia="微软雅黑" w:cs="微软雅黑"/>
          <w:sz w:val="72"/>
          <w:szCs w:val="72"/>
        </w:rPr>
      </w:pPr>
    </w:p>
    <w:p>
      <w:pPr>
        <w:adjustRightInd w:val="0"/>
        <w:snapToGrid w:val="0"/>
        <w:spacing w:line="360" w:lineRule="auto"/>
        <w:jc w:val="center"/>
        <w:outlineLvl w:val="0"/>
        <w:rPr>
          <w:rFonts w:hint="eastAsia" w:ascii="微软雅黑" w:hAnsi="微软雅黑" w:eastAsia="微软雅黑" w:cs="微软雅黑"/>
          <w:sz w:val="72"/>
          <w:szCs w:val="72"/>
        </w:rPr>
      </w:pPr>
      <w:bookmarkStart w:id="2" w:name="_Toc20968"/>
      <w:bookmarkStart w:id="3" w:name="_Toc15378441"/>
      <w:bookmarkStart w:id="4" w:name="_Toc15377193"/>
      <w:bookmarkStart w:id="5" w:name="_Toc15396597"/>
      <w:bookmarkStart w:id="6" w:name="_Toc15396475"/>
      <w:bookmarkStart w:id="7" w:name="_Toc15377425"/>
      <w:r>
        <w:rPr>
          <w:rFonts w:hint="eastAsia" w:ascii="微软雅黑" w:hAnsi="微软雅黑" w:eastAsia="微软雅黑" w:cs="微软雅黑"/>
          <w:sz w:val="72"/>
          <w:szCs w:val="72"/>
        </w:rPr>
        <w:t>2022年度</w:t>
      </w:r>
      <w:bookmarkEnd w:id="2"/>
      <w:bookmarkEnd w:id="3"/>
      <w:bookmarkEnd w:id="4"/>
      <w:bookmarkEnd w:id="5"/>
      <w:bookmarkEnd w:id="6"/>
      <w:bookmarkEnd w:id="7"/>
    </w:p>
    <w:p>
      <w:pPr>
        <w:adjustRightInd w:val="0"/>
        <w:snapToGrid w:val="0"/>
        <w:spacing w:line="360" w:lineRule="auto"/>
        <w:jc w:val="center"/>
        <w:outlineLvl w:val="0"/>
        <w:rPr>
          <w:rFonts w:hint="eastAsia" w:ascii="微软雅黑" w:hAnsi="微软雅黑" w:eastAsia="微软雅黑" w:cs="微软雅黑"/>
          <w:sz w:val="72"/>
          <w:szCs w:val="72"/>
        </w:rPr>
      </w:pPr>
      <w:bookmarkStart w:id="8" w:name="_Toc15396476"/>
      <w:bookmarkStart w:id="9" w:name="_Toc15378442"/>
      <w:bookmarkStart w:id="10" w:name="_Toc15396598"/>
      <w:bookmarkStart w:id="11" w:name="_Toc15377194"/>
      <w:bookmarkStart w:id="12" w:name="_Toc653"/>
      <w:bookmarkStart w:id="13" w:name="_Toc15377426"/>
      <w:r>
        <w:rPr>
          <w:rFonts w:hint="eastAsia" w:ascii="微软雅黑" w:hAnsi="微软雅黑" w:eastAsia="微软雅黑" w:cs="微软雅黑"/>
          <w:sz w:val="72"/>
          <w:szCs w:val="72"/>
        </w:rPr>
        <w:t>四川省</w:t>
      </w:r>
      <w:bookmarkEnd w:id="1"/>
      <w:bookmarkStart w:id="14" w:name="_Toc15306268"/>
      <w:r>
        <w:rPr>
          <w:rFonts w:hint="eastAsia" w:ascii="微软雅黑" w:hAnsi="微软雅黑" w:eastAsia="微软雅黑" w:cs="微软雅黑"/>
          <w:sz w:val="72"/>
          <w:szCs w:val="72"/>
          <w:lang w:val="en-US" w:eastAsia="zh-CN"/>
        </w:rPr>
        <w:t>西昌学院</w:t>
      </w:r>
      <w:r>
        <w:rPr>
          <w:rFonts w:hint="eastAsia" w:ascii="微软雅黑" w:hAnsi="微软雅黑" w:eastAsia="微软雅黑" w:cs="微软雅黑"/>
          <w:sz w:val="72"/>
          <w:szCs w:val="72"/>
        </w:rPr>
        <w:t>单位决算</w:t>
      </w:r>
      <w:bookmarkEnd w:id="8"/>
      <w:bookmarkEnd w:id="9"/>
      <w:bookmarkEnd w:id="10"/>
      <w:bookmarkEnd w:id="11"/>
      <w:bookmarkEnd w:id="12"/>
      <w:bookmarkEnd w:id="13"/>
      <w:bookmarkEnd w:id="14"/>
    </w:p>
    <w:p>
      <w:pPr>
        <w:widowControl/>
        <w:jc w:val="center"/>
        <w:rPr>
          <w:rFonts w:ascii="黑体" w:hAnsi="黑体" w:eastAsia="黑体"/>
          <w:sz w:val="48"/>
          <w:szCs w:val="48"/>
        </w:rPr>
      </w:pPr>
      <w:r>
        <w:rPr>
          <w:rFonts w:ascii="方正小标宋简体" w:hAnsi="宋体" w:eastAsia="方正小标宋简体"/>
          <w:sz w:val="36"/>
          <w:szCs w:val="36"/>
        </w:rPr>
        <w:br w:type="page"/>
      </w:r>
      <w:r>
        <w:rPr>
          <w:rFonts w:hint="eastAsia" w:ascii="黑体" w:hAnsi="黑体" w:eastAsia="黑体"/>
          <w:sz w:val="48"/>
          <w:szCs w:val="48"/>
        </w:rPr>
        <w:t>目</w:t>
      </w:r>
      <w:r>
        <w:rPr>
          <w:rFonts w:hint="eastAsia" w:ascii="黑体" w:hAnsi="黑体" w:eastAsia="黑体"/>
          <w:sz w:val="48"/>
          <w:szCs w:val="48"/>
          <w:lang w:val="en-US" w:eastAsia="zh-CN"/>
        </w:rPr>
        <w:t xml:space="preserve">  </w:t>
      </w:r>
      <w:r>
        <w:rPr>
          <w:rFonts w:hint="eastAsia" w:ascii="黑体" w:hAnsi="黑体" w:eastAsia="黑体"/>
          <w:sz w:val="48"/>
          <w:szCs w:val="48"/>
        </w:rPr>
        <w:t>录</w:t>
      </w:r>
    </w:p>
    <w:p>
      <w:pPr>
        <w:pStyle w:val="10"/>
        <w:tabs>
          <w:tab w:val="right" w:leader="dot" w:pos="8410"/>
          <w:tab w:val="clear" w:pos="8296"/>
        </w:tabs>
      </w:pPr>
      <w:r>
        <w:rPr>
          <w:rFonts w:ascii="黑体" w:hAnsi="黑体" w:eastAsia="黑体" w:cstheme="minorBidi"/>
          <w:sz w:val="28"/>
          <w:szCs w:val="28"/>
        </w:rPr>
        <w:fldChar w:fldCharType="begin"/>
      </w:r>
      <w:r>
        <w:rPr>
          <w:rFonts w:ascii="黑体" w:hAnsi="黑体" w:eastAsia="黑体" w:cstheme="minorBidi"/>
          <w:sz w:val="28"/>
          <w:szCs w:val="28"/>
        </w:rPr>
        <w:instrText xml:space="preserve">TOC \o "1-2" \h \u </w:instrText>
      </w:r>
      <w:r>
        <w:rPr>
          <w:rFonts w:ascii="黑体" w:hAnsi="黑体" w:eastAsia="黑体" w:cstheme="minorBidi"/>
          <w:sz w:val="28"/>
          <w:szCs w:val="28"/>
        </w:rPr>
        <w:fldChar w:fldCharType="separate"/>
      </w:r>
    </w:p>
    <w:p>
      <w:pPr>
        <w:pStyle w:val="10"/>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_Toc13910 </w:instrText>
      </w:r>
      <w:r>
        <w:rPr>
          <w:rFonts w:hint="eastAsia" w:ascii="宋体" w:hAnsi="宋体" w:eastAsia="宋体" w:cs="宋体"/>
          <w:sz w:val="28"/>
          <w:szCs w:val="28"/>
        </w:rPr>
        <w:fldChar w:fldCharType="separate"/>
      </w:r>
      <w:r>
        <w:rPr>
          <w:rFonts w:hint="eastAsia" w:ascii="宋体" w:hAnsi="宋体" w:eastAsia="宋体" w:cs="宋体"/>
          <w:sz w:val="28"/>
          <w:szCs w:val="28"/>
        </w:rPr>
        <w:t>第一部分 单位</w:t>
      </w:r>
      <w:r>
        <w:rPr>
          <w:rFonts w:hint="eastAsia" w:ascii="宋体" w:hAnsi="宋体" w:eastAsia="宋体" w:cs="宋体"/>
          <w:bCs w:val="0"/>
          <w:sz w:val="28"/>
          <w:szCs w:val="28"/>
        </w:rPr>
        <w:t>概况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_Toc13910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_Toc5374 </w:instrText>
      </w:r>
      <w:r>
        <w:rPr>
          <w:rFonts w:hint="eastAsia" w:ascii="宋体" w:hAnsi="宋体" w:eastAsia="宋体" w:cs="宋体"/>
          <w:sz w:val="28"/>
          <w:szCs w:val="28"/>
        </w:rPr>
        <w:fldChar w:fldCharType="separate"/>
      </w:r>
      <w:r>
        <w:rPr>
          <w:rFonts w:hint="eastAsia" w:ascii="宋体" w:hAnsi="宋体" w:eastAsia="宋体" w:cs="宋体"/>
          <w:bCs w:val="0"/>
          <w:sz w:val="28"/>
          <w:szCs w:val="28"/>
        </w:rPr>
        <w:t>一、 主要职责</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_Toc5374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_Toc26984 </w:instrText>
      </w:r>
      <w:r>
        <w:rPr>
          <w:rFonts w:hint="eastAsia" w:ascii="宋体" w:hAnsi="宋体" w:eastAsia="宋体" w:cs="宋体"/>
          <w:sz w:val="28"/>
          <w:szCs w:val="28"/>
        </w:rPr>
        <w:fldChar w:fldCharType="separate"/>
      </w:r>
      <w:r>
        <w:rPr>
          <w:rFonts w:hint="eastAsia" w:ascii="宋体" w:hAnsi="宋体" w:eastAsia="宋体" w:cs="宋体"/>
          <w:sz w:val="28"/>
          <w:szCs w:val="28"/>
        </w:rPr>
        <w:t>一、 机构设置</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_Toc26984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0"/>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_Toc16311 </w:instrText>
      </w:r>
      <w:r>
        <w:rPr>
          <w:rFonts w:hint="eastAsia" w:ascii="宋体" w:hAnsi="宋体" w:eastAsia="宋体" w:cs="宋体"/>
          <w:sz w:val="28"/>
          <w:szCs w:val="28"/>
        </w:rPr>
        <w:fldChar w:fldCharType="separate"/>
      </w:r>
      <w:r>
        <w:rPr>
          <w:rFonts w:hint="eastAsia" w:ascii="宋体" w:hAnsi="宋体" w:eastAsia="宋体" w:cs="宋体"/>
          <w:sz w:val="28"/>
          <w:szCs w:val="28"/>
        </w:rPr>
        <w:t>第二部分 2022年度</w:t>
      </w:r>
      <w:r>
        <w:rPr>
          <w:rFonts w:hint="eastAsia" w:ascii="宋体" w:hAnsi="宋体" w:eastAsia="宋体" w:cs="宋体"/>
          <w:bCs/>
          <w:sz w:val="28"/>
          <w:szCs w:val="28"/>
        </w:rPr>
        <w:t>单位决算情况说明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_Toc16311 \h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_Toc5143 </w:instrText>
      </w:r>
      <w:r>
        <w:rPr>
          <w:rFonts w:hint="eastAsia" w:ascii="宋体" w:hAnsi="宋体" w:eastAsia="宋体" w:cs="宋体"/>
          <w:sz w:val="28"/>
          <w:szCs w:val="28"/>
        </w:rPr>
        <w:fldChar w:fldCharType="separate"/>
      </w:r>
      <w:r>
        <w:rPr>
          <w:rFonts w:hint="eastAsia" w:ascii="宋体" w:hAnsi="宋体" w:eastAsia="宋体" w:cs="宋体"/>
          <w:sz w:val="28"/>
          <w:szCs w:val="28"/>
        </w:rPr>
        <w:t>一、 收入支出决算总体情况说明</w:t>
      </w:r>
      <w:bookmarkStart w:id="88" w:name="_GoBack"/>
      <w:bookmarkEnd w:id="88"/>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_Toc5143 \h </w:instrText>
      </w:r>
      <w:r>
        <w:rPr>
          <w:rFonts w:hint="eastAsia" w:ascii="宋体" w:hAnsi="宋体" w:eastAsia="宋体" w:cs="宋体"/>
          <w:sz w:val="28"/>
          <w:szCs w:val="28"/>
        </w:rPr>
        <w:fldChar w:fldCharType="separate"/>
      </w:r>
      <w:r>
        <w:rPr>
          <w:rFonts w:hint="eastAsia" w:ascii="宋体" w:hAnsi="宋体" w:eastAsia="宋体" w:cs="宋体"/>
          <w:sz w:val="28"/>
          <w:szCs w:val="28"/>
        </w:rPr>
        <w:t>3</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_Toc23361 </w:instrText>
      </w:r>
      <w:r>
        <w:rPr>
          <w:rFonts w:hint="eastAsia" w:ascii="宋体" w:hAnsi="宋体" w:eastAsia="宋体" w:cs="宋体"/>
          <w:sz w:val="28"/>
          <w:szCs w:val="28"/>
        </w:rPr>
        <w:fldChar w:fldCharType="separate"/>
      </w:r>
      <w:r>
        <w:rPr>
          <w:rFonts w:hint="eastAsia" w:ascii="宋体" w:hAnsi="宋体" w:eastAsia="宋体" w:cs="宋体"/>
          <w:sz w:val="28"/>
          <w:szCs w:val="28"/>
        </w:rPr>
        <w:t>二、 收入决算情况说明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_Toc23361 \h </w:instrText>
      </w:r>
      <w:r>
        <w:rPr>
          <w:rFonts w:hint="eastAsia" w:ascii="宋体" w:hAnsi="宋体" w:eastAsia="宋体" w:cs="宋体"/>
          <w:sz w:val="28"/>
          <w:szCs w:val="28"/>
        </w:rPr>
        <w:fldChar w:fldCharType="separate"/>
      </w:r>
      <w:r>
        <w:rPr>
          <w:rFonts w:hint="eastAsia" w:ascii="宋体" w:hAnsi="宋体" w:eastAsia="宋体" w:cs="宋体"/>
          <w:sz w:val="28"/>
          <w:szCs w:val="28"/>
        </w:rPr>
        <w:t>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_Toc6742 </w:instrText>
      </w:r>
      <w:r>
        <w:rPr>
          <w:rFonts w:hint="eastAsia" w:ascii="宋体" w:hAnsi="宋体" w:eastAsia="宋体" w:cs="宋体"/>
          <w:sz w:val="28"/>
          <w:szCs w:val="28"/>
        </w:rPr>
        <w:fldChar w:fldCharType="separate"/>
      </w:r>
      <w:r>
        <w:rPr>
          <w:rFonts w:hint="eastAsia" w:ascii="宋体" w:hAnsi="宋体" w:eastAsia="宋体" w:cs="宋体"/>
          <w:sz w:val="28"/>
          <w:szCs w:val="28"/>
        </w:rPr>
        <w:t>四、财政拨款收入支出决算总体情况说明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_Toc6742 \h </w:instrText>
      </w:r>
      <w:r>
        <w:rPr>
          <w:rFonts w:hint="eastAsia" w:ascii="宋体" w:hAnsi="宋体" w:eastAsia="宋体" w:cs="宋体"/>
          <w:sz w:val="28"/>
          <w:szCs w:val="28"/>
        </w:rPr>
        <w:fldChar w:fldCharType="separate"/>
      </w:r>
      <w:r>
        <w:rPr>
          <w:rFonts w:hint="eastAsia" w:ascii="宋体" w:hAnsi="宋体" w:eastAsia="宋体" w:cs="宋体"/>
          <w:sz w:val="28"/>
          <w:szCs w:val="28"/>
        </w:rPr>
        <w:t>5</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_Toc11256 </w:instrText>
      </w:r>
      <w:r>
        <w:rPr>
          <w:rFonts w:hint="eastAsia" w:ascii="宋体" w:hAnsi="宋体" w:eastAsia="宋体" w:cs="宋体"/>
          <w:sz w:val="28"/>
          <w:szCs w:val="28"/>
        </w:rPr>
        <w:fldChar w:fldCharType="separate"/>
      </w:r>
      <w:r>
        <w:rPr>
          <w:rFonts w:hint="eastAsia" w:ascii="宋体" w:hAnsi="宋体" w:eastAsia="宋体" w:cs="宋体"/>
          <w:sz w:val="28"/>
          <w:szCs w:val="28"/>
        </w:rPr>
        <w:t>五、一般公共预算财政拨款支出决算情况说明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_Toc11256 \h </w:instrText>
      </w:r>
      <w:r>
        <w:rPr>
          <w:rFonts w:hint="eastAsia" w:ascii="宋体" w:hAnsi="宋体" w:eastAsia="宋体" w:cs="宋体"/>
          <w:sz w:val="28"/>
          <w:szCs w:val="28"/>
        </w:rPr>
        <w:fldChar w:fldCharType="separate"/>
      </w:r>
      <w:r>
        <w:rPr>
          <w:rFonts w:hint="eastAsia" w:ascii="宋体" w:hAnsi="宋体" w:eastAsia="宋体" w:cs="宋体"/>
          <w:sz w:val="28"/>
          <w:szCs w:val="28"/>
        </w:rPr>
        <w:t>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_Toc9663 </w:instrText>
      </w:r>
      <w:r>
        <w:rPr>
          <w:rFonts w:hint="eastAsia" w:ascii="宋体" w:hAnsi="宋体" w:eastAsia="宋体" w:cs="宋体"/>
          <w:sz w:val="28"/>
          <w:szCs w:val="28"/>
        </w:rPr>
        <w:fldChar w:fldCharType="separate"/>
      </w:r>
      <w:r>
        <w:rPr>
          <w:rFonts w:hint="eastAsia" w:ascii="宋体" w:hAnsi="宋体" w:eastAsia="宋体" w:cs="宋体"/>
          <w:sz w:val="28"/>
          <w:szCs w:val="28"/>
        </w:rPr>
        <w:t>六、一般公共预算财政拨款基本支出决算情况说明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_Toc9663 \h </w:instrText>
      </w:r>
      <w:r>
        <w:rPr>
          <w:rFonts w:hint="eastAsia" w:ascii="宋体" w:hAnsi="宋体" w:eastAsia="宋体" w:cs="宋体"/>
          <w:sz w:val="28"/>
          <w:szCs w:val="28"/>
        </w:rPr>
        <w:fldChar w:fldCharType="separate"/>
      </w:r>
      <w:r>
        <w:rPr>
          <w:rFonts w:hint="eastAsia" w:ascii="宋体" w:hAnsi="宋体" w:eastAsia="宋体" w:cs="宋体"/>
          <w:sz w:val="28"/>
          <w:szCs w:val="28"/>
        </w:rPr>
        <w:t>8</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_Toc1528 </w:instrText>
      </w:r>
      <w:r>
        <w:rPr>
          <w:rFonts w:hint="eastAsia" w:ascii="宋体" w:hAnsi="宋体" w:eastAsia="宋体" w:cs="宋体"/>
          <w:sz w:val="28"/>
          <w:szCs w:val="28"/>
        </w:rPr>
        <w:fldChar w:fldCharType="separate"/>
      </w:r>
      <w:r>
        <w:rPr>
          <w:rFonts w:hint="eastAsia" w:ascii="宋体" w:hAnsi="宋体" w:eastAsia="宋体" w:cs="宋体"/>
          <w:sz w:val="28"/>
          <w:szCs w:val="28"/>
        </w:rPr>
        <w:t>七、财政拨款“三公”经费支出决算情况说明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_Toc1528 \h </w:instrText>
      </w:r>
      <w:r>
        <w:rPr>
          <w:rFonts w:hint="eastAsia" w:ascii="宋体" w:hAnsi="宋体" w:eastAsia="宋体" w:cs="宋体"/>
          <w:sz w:val="28"/>
          <w:szCs w:val="28"/>
        </w:rPr>
        <w:fldChar w:fldCharType="separate"/>
      </w:r>
      <w:r>
        <w:rPr>
          <w:rFonts w:hint="eastAsia" w:ascii="宋体" w:hAnsi="宋体" w:eastAsia="宋体" w:cs="宋体"/>
          <w:sz w:val="28"/>
          <w:szCs w:val="28"/>
        </w:rPr>
        <w:t>9</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_Toc3077 </w:instrText>
      </w:r>
      <w:r>
        <w:rPr>
          <w:rFonts w:hint="eastAsia" w:ascii="宋体" w:hAnsi="宋体" w:eastAsia="宋体" w:cs="宋体"/>
          <w:sz w:val="28"/>
          <w:szCs w:val="28"/>
        </w:rPr>
        <w:fldChar w:fldCharType="separate"/>
      </w:r>
      <w:r>
        <w:rPr>
          <w:rFonts w:hint="eastAsia" w:ascii="宋体" w:hAnsi="宋体" w:eastAsia="宋体" w:cs="宋体"/>
          <w:sz w:val="28"/>
          <w:szCs w:val="28"/>
        </w:rPr>
        <w:t>八、政府性基金预算支出决算情况说明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_Toc3077 \h </w:instrText>
      </w:r>
      <w:r>
        <w:rPr>
          <w:rFonts w:hint="eastAsia" w:ascii="宋体" w:hAnsi="宋体" w:eastAsia="宋体" w:cs="宋体"/>
          <w:sz w:val="28"/>
          <w:szCs w:val="28"/>
        </w:rPr>
        <w:fldChar w:fldCharType="separate"/>
      </w:r>
      <w:r>
        <w:rPr>
          <w:rFonts w:hint="eastAsia" w:ascii="宋体" w:hAnsi="宋体" w:eastAsia="宋体" w:cs="宋体"/>
          <w:sz w:val="28"/>
          <w:szCs w:val="28"/>
        </w:rPr>
        <w:t>14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_Toc24035 </w:instrText>
      </w:r>
      <w:r>
        <w:rPr>
          <w:rFonts w:hint="eastAsia" w:ascii="宋体" w:hAnsi="宋体" w:eastAsia="宋体" w:cs="宋体"/>
          <w:sz w:val="28"/>
          <w:szCs w:val="28"/>
        </w:rPr>
        <w:fldChar w:fldCharType="separate"/>
      </w:r>
      <w:r>
        <w:rPr>
          <w:rFonts w:hint="eastAsia" w:ascii="宋体" w:hAnsi="宋体" w:eastAsia="宋体" w:cs="宋体"/>
          <w:sz w:val="28"/>
          <w:szCs w:val="28"/>
        </w:rPr>
        <w:t>九、 国有资本经营预算支出决算情况说明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_Toc24035 \h </w:instrText>
      </w:r>
      <w:r>
        <w:rPr>
          <w:rFonts w:hint="eastAsia" w:ascii="宋体" w:hAnsi="宋体" w:eastAsia="宋体" w:cs="宋体"/>
          <w:sz w:val="28"/>
          <w:szCs w:val="28"/>
        </w:rPr>
        <w:fldChar w:fldCharType="separate"/>
      </w:r>
      <w:r>
        <w:rPr>
          <w:rFonts w:hint="eastAsia" w:ascii="宋体" w:hAnsi="宋体" w:eastAsia="宋体" w:cs="宋体"/>
          <w:sz w:val="28"/>
          <w:szCs w:val="28"/>
        </w:rPr>
        <w:t>14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1"/>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_Toc29604 </w:instrText>
      </w:r>
      <w:r>
        <w:rPr>
          <w:rFonts w:hint="eastAsia" w:ascii="宋体" w:hAnsi="宋体" w:eastAsia="宋体" w:cs="宋体"/>
          <w:sz w:val="28"/>
          <w:szCs w:val="28"/>
        </w:rPr>
        <w:fldChar w:fldCharType="separate"/>
      </w:r>
      <w:r>
        <w:rPr>
          <w:rFonts w:hint="eastAsia" w:ascii="宋体" w:hAnsi="宋体" w:eastAsia="宋体" w:cs="宋体"/>
          <w:sz w:val="28"/>
          <w:szCs w:val="28"/>
        </w:rPr>
        <w:t>十、 其他重要事项的情况说明</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_Toc29604 \h </w:instrText>
      </w:r>
      <w:r>
        <w:rPr>
          <w:rFonts w:hint="eastAsia" w:ascii="宋体" w:hAnsi="宋体" w:eastAsia="宋体" w:cs="宋体"/>
          <w:sz w:val="28"/>
          <w:szCs w:val="28"/>
        </w:rPr>
        <w:fldChar w:fldCharType="separate"/>
      </w:r>
      <w:r>
        <w:rPr>
          <w:rFonts w:hint="eastAsia" w:ascii="宋体" w:hAnsi="宋体" w:eastAsia="宋体" w:cs="宋体"/>
          <w:sz w:val="28"/>
          <w:szCs w:val="28"/>
        </w:rPr>
        <w:t>14</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0"/>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_Toc10753 </w:instrText>
      </w:r>
      <w:r>
        <w:rPr>
          <w:rFonts w:hint="eastAsia" w:ascii="宋体" w:hAnsi="宋体" w:eastAsia="宋体" w:cs="宋体"/>
          <w:sz w:val="28"/>
          <w:szCs w:val="28"/>
        </w:rPr>
        <w:fldChar w:fldCharType="separate"/>
      </w:r>
      <w:r>
        <w:rPr>
          <w:rFonts w:hint="eastAsia" w:ascii="宋体" w:hAnsi="宋体" w:eastAsia="宋体" w:cs="宋体"/>
          <w:sz w:val="28"/>
          <w:szCs w:val="28"/>
        </w:rPr>
        <w:t>第三部分 名词解释</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_Toc10753 \h </w:instrText>
      </w:r>
      <w:r>
        <w:rPr>
          <w:rFonts w:hint="eastAsia" w:ascii="宋体" w:hAnsi="宋体" w:eastAsia="宋体" w:cs="宋体"/>
          <w:sz w:val="28"/>
          <w:szCs w:val="28"/>
        </w:rPr>
        <w:fldChar w:fldCharType="separate"/>
      </w:r>
      <w:r>
        <w:rPr>
          <w:rFonts w:hint="eastAsia" w:ascii="宋体" w:hAnsi="宋体" w:eastAsia="宋体" w:cs="宋体"/>
          <w:sz w:val="28"/>
          <w:szCs w:val="28"/>
        </w:rPr>
        <w:t>17</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0"/>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_Toc4859 </w:instrText>
      </w:r>
      <w:r>
        <w:rPr>
          <w:rFonts w:hint="eastAsia" w:ascii="宋体" w:hAnsi="宋体" w:eastAsia="宋体" w:cs="宋体"/>
          <w:sz w:val="28"/>
          <w:szCs w:val="28"/>
        </w:rPr>
        <w:fldChar w:fldCharType="separate"/>
      </w:r>
      <w:r>
        <w:rPr>
          <w:rFonts w:hint="eastAsia" w:ascii="宋体" w:hAnsi="宋体" w:eastAsia="宋体" w:cs="宋体"/>
          <w:sz w:val="28"/>
          <w:szCs w:val="28"/>
        </w:rPr>
        <w:t>第四部分 附件</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_Toc4859 \h </w:instrText>
      </w:r>
      <w:r>
        <w:rPr>
          <w:rFonts w:hint="eastAsia" w:ascii="宋体" w:hAnsi="宋体" w:eastAsia="宋体" w:cs="宋体"/>
          <w:sz w:val="28"/>
          <w:szCs w:val="28"/>
        </w:rPr>
        <w:fldChar w:fldCharType="separate"/>
      </w:r>
      <w:r>
        <w:rPr>
          <w:rFonts w:hint="eastAsia" w:ascii="宋体" w:hAnsi="宋体" w:eastAsia="宋体" w:cs="宋体"/>
          <w:sz w:val="28"/>
          <w:szCs w:val="28"/>
        </w:rPr>
        <w:t>20</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pStyle w:val="10"/>
        <w:tabs>
          <w:tab w:val="right" w:leader="dot" w:pos="8410"/>
          <w:tab w:val="clear" w:pos="8296"/>
        </w:tabs>
        <w:spacing w:line="360" w:lineRule="auto"/>
        <w:rPr>
          <w:rFonts w:hint="eastAsia"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HYPERLINK \l _Toc6926 </w:instrText>
      </w:r>
      <w:r>
        <w:rPr>
          <w:rFonts w:hint="eastAsia" w:ascii="宋体" w:hAnsi="宋体" w:eastAsia="宋体" w:cs="宋体"/>
          <w:sz w:val="28"/>
          <w:szCs w:val="28"/>
        </w:rPr>
        <w:fldChar w:fldCharType="separate"/>
      </w:r>
      <w:r>
        <w:rPr>
          <w:rFonts w:hint="eastAsia" w:ascii="宋体" w:hAnsi="宋体" w:eastAsia="宋体" w:cs="宋体"/>
          <w:sz w:val="28"/>
          <w:szCs w:val="28"/>
        </w:rPr>
        <w:t>第五部分 附表</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_Toc6926 \h </w:instrText>
      </w:r>
      <w:r>
        <w:rPr>
          <w:rFonts w:hint="eastAsia" w:ascii="宋体" w:hAnsi="宋体" w:eastAsia="宋体" w:cs="宋体"/>
          <w:sz w:val="28"/>
          <w:szCs w:val="28"/>
        </w:rPr>
        <w:fldChar w:fldCharType="separate"/>
      </w:r>
      <w:r>
        <w:rPr>
          <w:rFonts w:hint="eastAsia" w:ascii="宋体" w:hAnsi="宋体" w:eastAsia="宋体" w:cs="宋体"/>
          <w:sz w:val="28"/>
          <w:szCs w:val="28"/>
        </w:rPr>
        <w:t>36</w:t>
      </w:r>
      <w:r>
        <w:rPr>
          <w:rFonts w:hint="eastAsia" w:ascii="宋体" w:hAnsi="宋体" w:eastAsia="宋体" w:cs="宋体"/>
          <w:sz w:val="28"/>
          <w:szCs w:val="28"/>
        </w:rPr>
        <w:fldChar w:fldCharType="end"/>
      </w:r>
      <w:r>
        <w:rPr>
          <w:rFonts w:hint="eastAsia" w:ascii="宋体" w:hAnsi="宋体" w:eastAsia="宋体" w:cs="宋体"/>
          <w:sz w:val="28"/>
          <w:szCs w:val="28"/>
        </w:rPr>
        <w:fldChar w:fldCharType="end"/>
      </w:r>
    </w:p>
    <w:p>
      <w:pPr>
        <w:widowControl/>
        <w:jc w:val="center"/>
        <w:rPr>
          <w:rFonts w:ascii="黑体" w:hAnsi="黑体" w:eastAsia="黑体" w:cstheme="minorBidi"/>
          <w:sz w:val="28"/>
          <w:szCs w:val="28"/>
        </w:rPr>
      </w:pPr>
      <w:r>
        <w:rPr>
          <w:rFonts w:ascii="黑体" w:hAnsi="黑体" w:eastAsia="黑体" w:cstheme="minorBidi"/>
          <w:szCs w:val="28"/>
        </w:rPr>
        <w:fldChar w:fldCharType="end"/>
      </w:r>
    </w:p>
    <w:p>
      <w:pPr>
        <w:pStyle w:val="10"/>
      </w:pPr>
      <w:r>
        <w:rPr>
          <w:rFonts w:hint="eastAsia"/>
        </w:rPr>
        <w:t>公开时间：2023年9月6日</w:t>
      </w:r>
    </w:p>
    <w:p/>
    <w:p>
      <w:pPr>
        <w:pStyle w:val="2"/>
        <w:jc w:val="center"/>
        <w:rPr>
          <w:rFonts w:hint="eastAsia" w:ascii="黑体" w:hAnsi="黑体" w:eastAsia="黑体"/>
          <w:b w:val="0"/>
        </w:rPr>
        <w:sectPr>
          <w:footerReference r:id="rId3" w:type="default"/>
          <w:pgSz w:w="11906" w:h="16839"/>
          <w:pgMar w:top="1431" w:right="1711" w:bottom="1378" w:left="1785" w:header="0" w:footer="1212" w:gutter="0"/>
          <w:pgNumType w:fmt="decimal" w:start="1"/>
          <w:cols w:space="720" w:num="1"/>
        </w:sectPr>
      </w:pPr>
      <w:bookmarkStart w:id="15" w:name="_Toc15377196"/>
      <w:bookmarkStart w:id="16" w:name="_Toc13910"/>
      <w:bookmarkStart w:id="17" w:name="_Toc15396599"/>
    </w:p>
    <w:p>
      <w:pPr>
        <w:pStyle w:val="2"/>
        <w:jc w:val="center"/>
        <w:rPr>
          <w:rFonts w:hint="eastAsia" w:ascii="黑体" w:hAnsi="黑体" w:eastAsia="黑体"/>
          <w:bCs w:val="0"/>
        </w:rPr>
      </w:pPr>
      <w:r>
        <w:rPr>
          <w:rFonts w:hint="eastAsia" w:ascii="黑体" w:hAnsi="黑体" w:eastAsia="黑体"/>
          <w:b w:val="0"/>
        </w:rPr>
        <w:t>第一部分 单位</w:t>
      </w:r>
      <w:r>
        <w:rPr>
          <w:rStyle w:val="24"/>
          <w:rFonts w:hint="eastAsia" w:ascii="黑体" w:hAnsi="黑体" w:eastAsia="黑体"/>
          <w:b w:val="0"/>
          <w:bCs w:val="0"/>
        </w:rPr>
        <w:t>概况</w:t>
      </w:r>
      <w:bookmarkEnd w:id="15"/>
      <w:bookmarkEnd w:id="16"/>
      <w:bookmarkEnd w:id="17"/>
    </w:p>
    <w:p>
      <w:pPr>
        <w:pStyle w:val="3"/>
        <w:numPr>
          <w:ilvl w:val="0"/>
          <w:numId w:val="1"/>
        </w:numPr>
        <w:rPr>
          <w:rStyle w:val="25"/>
          <w:rFonts w:ascii="黑体" w:hAnsi="黑体" w:eastAsia="黑体"/>
          <w:b w:val="0"/>
          <w:bCs w:val="0"/>
        </w:rPr>
      </w:pPr>
      <w:bookmarkStart w:id="18" w:name="_Toc5374"/>
      <w:bookmarkStart w:id="19" w:name="_Toc15396600"/>
      <w:bookmarkStart w:id="20" w:name="_Toc15377197"/>
      <w:r>
        <w:rPr>
          <w:rStyle w:val="25"/>
          <w:rFonts w:hint="eastAsia" w:ascii="黑体" w:hAnsi="黑体" w:eastAsia="黑体"/>
          <w:b w:val="0"/>
          <w:bCs w:val="0"/>
        </w:rPr>
        <w:t>主要职责</w:t>
      </w:r>
      <w:bookmarkEnd w:id="18"/>
    </w:p>
    <w:p>
      <w:pPr>
        <w:spacing w:line="360" w:lineRule="auto"/>
        <w:ind w:firstLine="600" w:firstLineChars="200"/>
        <w:rPr>
          <w:rFonts w:hint="eastAsia" w:ascii="仿宋" w:hAnsi="仿宋" w:eastAsia="仿宋" w:cs="仿宋"/>
          <w:sz w:val="30"/>
          <w:szCs w:val="30"/>
        </w:rPr>
      </w:pPr>
      <w:r>
        <w:rPr>
          <w:rFonts w:hint="eastAsia" w:ascii="仿宋" w:hAnsi="仿宋" w:eastAsia="仿宋" w:cs="仿宋"/>
          <w:sz w:val="30"/>
          <w:szCs w:val="30"/>
        </w:rPr>
        <w:t>西昌学院肇始于1939年北洋工学院内迁创建的国立西康技艺专科学校，是中国高等教育史上第一所国立综合类高等专科学校。几经变迁，2003 年教育部批准西昌农专、西昌师专、凉山大学、凉山教育学院合并组建西昌学院。2010年通过教育部本科教学合格评估，2015年被列为四川省首批整体转型发展改革试点单位，2017 年被列入国家教育现代化推进工程100所应用型本科高校建设单位。2018年圆满完成教育部本科教学审核评估。</w:t>
      </w:r>
    </w:p>
    <w:p>
      <w:pPr>
        <w:spacing w:line="360" w:lineRule="auto"/>
        <w:ind w:firstLine="600" w:firstLineChars="200"/>
        <w:rPr>
          <w:rFonts w:hint="eastAsia" w:ascii="仿宋" w:hAnsi="仿宋" w:eastAsia="仿宋" w:cs="仿宋"/>
          <w:sz w:val="30"/>
          <w:szCs w:val="30"/>
        </w:rPr>
      </w:pPr>
      <w:r>
        <w:rPr>
          <w:rFonts w:hint="eastAsia" w:ascii="仿宋" w:hAnsi="仿宋" w:eastAsia="仿宋" w:cs="仿宋"/>
          <w:sz w:val="30"/>
          <w:szCs w:val="30"/>
        </w:rPr>
        <w:t>学校以习近平新时代中国特色社会主义思想为指导，全面贯彻党的教育方针，坚持立德树人根本任务，秉承“审慎明笃”治学精神，践行“需求为导向、服务为根本”理念，坚持“应用性、地方性、民族性”办学特色，敬恭桑梓，海涵地负，为民族地区脱贫奔康、永续发展提供人才、科技、文化支撑，是凉山发展的人才培养基地、资源开发、民族文化传承创新的重要基地。</w:t>
      </w:r>
    </w:p>
    <w:p>
      <w:pPr>
        <w:spacing w:line="360" w:lineRule="auto"/>
        <w:ind w:firstLine="600" w:firstLineChars="200"/>
        <w:rPr>
          <w:rFonts w:hint="eastAsia" w:ascii="仿宋" w:hAnsi="仿宋" w:eastAsia="仿宋" w:cs="仿宋"/>
          <w:sz w:val="30"/>
          <w:szCs w:val="30"/>
        </w:rPr>
      </w:pPr>
      <w:r>
        <w:rPr>
          <w:rFonts w:hint="eastAsia" w:ascii="仿宋" w:hAnsi="仿宋" w:eastAsia="仿宋" w:cs="仿宋"/>
          <w:sz w:val="30"/>
          <w:szCs w:val="30"/>
        </w:rPr>
        <w:t>当前，学校正全面推进转型发展、创新发展、特色发展，以建成全国民族地区知名、特色鲜明的高水平应用型大学为目标而努力奋斗。</w:t>
      </w:r>
    </w:p>
    <w:p>
      <w:pPr>
        <w:pStyle w:val="3"/>
        <w:numPr>
          <w:ilvl w:val="0"/>
          <w:numId w:val="2"/>
        </w:numPr>
        <w:rPr>
          <w:rFonts w:ascii="黑体" w:hAnsi="黑体" w:eastAsia="黑体"/>
          <w:b w:val="0"/>
        </w:rPr>
      </w:pPr>
      <w:bookmarkStart w:id="21" w:name="_Toc26984"/>
      <w:r>
        <w:rPr>
          <w:rFonts w:hint="eastAsia" w:ascii="黑体" w:hAnsi="黑体" w:eastAsia="黑体"/>
          <w:b w:val="0"/>
        </w:rPr>
        <w:t>机构设置</w:t>
      </w:r>
      <w:bookmarkEnd w:id="21"/>
    </w:p>
    <w:p>
      <w:pPr>
        <w:spacing w:line="360" w:lineRule="auto"/>
        <w:ind w:firstLine="600" w:firstLineChars="200"/>
        <w:rPr>
          <w:rFonts w:hint="eastAsia" w:ascii="仿宋" w:hAnsi="仿宋" w:eastAsia="仿宋" w:cs="仿宋"/>
          <w:sz w:val="30"/>
          <w:szCs w:val="30"/>
        </w:rPr>
      </w:pPr>
      <w:r>
        <w:rPr>
          <w:rFonts w:hint="eastAsia" w:ascii="仿宋" w:hAnsi="仿宋" w:eastAsia="仿宋" w:cs="仿宋"/>
          <w:sz w:val="30"/>
          <w:szCs w:val="30"/>
        </w:rPr>
        <w:t>西昌学院由34个职能部门、17个二级学院组成，34个职能部门分别是：党委办公室（与校长办公室、国际交流合作处合署办公）、纪委办公室、党委巡察办公室、组织部（学校党校与党建办公室合署办公）、宣传部、统战部、学生工作部（与学生工作处合署办公）、保卫部（与武装部、保卫处合署办公）、教师工作部（与人事处合署办公、教师发展中心）、工会、团委、教务处（学位办）、科技处、招生就业处（创新创业学院）、国有资产管理处、采购中心、后勤管理处、基本建设处、计财处、审计处、发展规划处、督导组、离退休工作处、继续教育学院（与西昌学院培训中心合署办公）、校地合作处</w:t>
      </w:r>
      <w:r>
        <w:rPr>
          <w:rFonts w:hint="eastAsia" w:ascii="仿宋" w:hAnsi="仿宋" w:eastAsia="仿宋" w:cs="仿宋"/>
          <w:sz w:val="30"/>
          <w:szCs w:val="30"/>
          <w:lang w:eastAsia="zh-CN"/>
        </w:rPr>
        <w:t>（</w:t>
      </w:r>
      <w:r>
        <w:rPr>
          <w:rFonts w:hint="eastAsia" w:ascii="仿宋" w:hAnsi="仿宋" w:eastAsia="仿宋" w:cs="仿宋"/>
          <w:sz w:val="30"/>
          <w:szCs w:val="30"/>
        </w:rPr>
        <w:t>“乡村振兴”办公室、校友工作办公室合署办公</w:t>
      </w:r>
      <w:r>
        <w:rPr>
          <w:rFonts w:hint="eastAsia" w:ascii="仿宋" w:hAnsi="仿宋" w:eastAsia="仿宋" w:cs="仿宋"/>
          <w:sz w:val="30"/>
          <w:szCs w:val="30"/>
          <w:lang w:eastAsia="zh-CN"/>
        </w:rPr>
        <w:t>）</w:t>
      </w:r>
      <w:r>
        <w:rPr>
          <w:rFonts w:hint="eastAsia" w:ascii="仿宋" w:hAnsi="仿宋" w:eastAsia="仿宋" w:cs="仿宋"/>
          <w:sz w:val="30"/>
          <w:szCs w:val="30"/>
        </w:rPr>
        <w:t>、图书馆、网络信息中心、档案馆、学报编辑部、彝族文化研究中心、重点实验室、凉山广播电视大学。17个二级学院分别是：农业科学学院、彝语言文化学院、动物科学学院、机械与电气工程学院、信息技术学院、土木与水利工程学院、旅游与城乡规划学院、资源与环境学院、经济管理学院、艺术学院、文化传媒学院、理学院、教师教育学院、外国语学院、体育学院、少数民族预科教育学院、马克思主义学院。</w:t>
      </w:r>
    </w:p>
    <w:bookmarkEnd w:id="19"/>
    <w:bookmarkEnd w:id="20"/>
    <w:p>
      <w:pPr>
        <w:widowControl/>
        <w:spacing w:line="360" w:lineRule="auto"/>
        <w:jc w:val="left"/>
        <w:rPr>
          <w:rFonts w:ascii="仿宋" w:hAnsi="仿宋" w:eastAsia="仿宋"/>
          <w:kern w:val="0"/>
          <w:sz w:val="32"/>
          <w:szCs w:val="32"/>
        </w:rPr>
      </w:pPr>
      <w:r>
        <w:rPr>
          <w:rFonts w:ascii="仿宋" w:hAnsi="仿宋" w:eastAsia="仿宋"/>
          <w:sz w:val="32"/>
          <w:szCs w:val="32"/>
        </w:rPr>
        <w:br w:type="page"/>
      </w:r>
    </w:p>
    <w:p>
      <w:pPr>
        <w:pStyle w:val="2"/>
        <w:keepNext/>
        <w:keepLines/>
        <w:pageBreakBefore w:val="0"/>
        <w:widowControl w:val="0"/>
        <w:kinsoku/>
        <w:wordWrap/>
        <w:overflowPunct/>
        <w:topLinePunct w:val="0"/>
        <w:autoSpaceDE/>
        <w:autoSpaceDN/>
        <w:bidi w:val="0"/>
        <w:adjustRightInd/>
        <w:snapToGrid/>
        <w:spacing w:after="0" w:afterLines="100" w:line="579" w:lineRule="auto"/>
        <w:ind w:right="442"/>
        <w:jc w:val="center"/>
        <w:textAlignment w:val="auto"/>
        <w:rPr>
          <w:rStyle w:val="24"/>
          <w:rFonts w:ascii="黑体" w:hAnsi="黑体" w:eastAsia="黑体"/>
          <w:b w:val="0"/>
          <w:bCs/>
        </w:rPr>
      </w:pPr>
      <w:bookmarkStart w:id="22" w:name="_Toc16311"/>
      <w:bookmarkStart w:id="23" w:name="_Toc15396602"/>
      <w:bookmarkStart w:id="24" w:name="_Toc15377204"/>
      <w:r>
        <w:rPr>
          <w:rFonts w:hint="eastAsia" w:ascii="黑体" w:hAnsi="黑体" w:eastAsia="黑体"/>
          <w:b w:val="0"/>
        </w:rPr>
        <w:t>第二部分 2022年度</w:t>
      </w:r>
      <w:r>
        <w:rPr>
          <w:rStyle w:val="24"/>
          <w:rFonts w:hint="eastAsia" w:ascii="黑体" w:hAnsi="黑体" w:eastAsia="黑体"/>
          <w:b w:val="0"/>
          <w:bCs/>
        </w:rPr>
        <w:t>单位决算情况说明</w:t>
      </w:r>
      <w:bookmarkEnd w:id="22"/>
      <w:bookmarkEnd w:id="23"/>
      <w:bookmarkEnd w:id="24"/>
    </w:p>
    <w:p>
      <w:pPr>
        <w:pStyle w:val="23"/>
        <w:numPr>
          <w:ilvl w:val="0"/>
          <w:numId w:val="3"/>
        </w:numPr>
        <w:spacing w:line="600" w:lineRule="exact"/>
        <w:ind w:firstLineChars="0"/>
        <w:outlineLvl w:val="1"/>
        <w:rPr>
          <w:rStyle w:val="25"/>
          <w:rFonts w:ascii="黑体" w:hAnsi="黑体" w:eastAsia="黑体"/>
          <w:b w:val="0"/>
        </w:rPr>
      </w:pPr>
      <w:bookmarkStart w:id="25" w:name="_Toc5143"/>
      <w:bookmarkStart w:id="26" w:name="_Toc15377205"/>
      <w:bookmarkStart w:id="27" w:name="_Toc15396603"/>
      <w:r>
        <w:rPr>
          <w:rFonts w:hint="eastAsia" w:ascii="黑体" w:hAnsi="黑体" w:eastAsia="黑体"/>
          <w:sz w:val="32"/>
          <w:szCs w:val="32"/>
        </w:rPr>
        <w:t>收</w:t>
      </w:r>
      <w:r>
        <w:rPr>
          <w:rStyle w:val="25"/>
          <w:rFonts w:hint="eastAsia" w:ascii="黑体" w:hAnsi="黑体" w:eastAsia="黑体"/>
          <w:b w:val="0"/>
        </w:rPr>
        <w:t>入支出决算总体情况说明</w:t>
      </w:r>
      <w:bookmarkEnd w:id="25"/>
      <w:bookmarkEnd w:id="26"/>
      <w:bookmarkEnd w:id="27"/>
    </w:p>
    <w:p>
      <w:pPr>
        <w:pStyle w:val="23"/>
        <w:numPr>
          <w:ilvl w:val="0"/>
          <w:numId w:val="0"/>
        </w:numPr>
        <w:spacing w:line="600" w:lineRule="exact"/>
        <w:ind w:left="640" w:leftChars="0"/>
        <w:outlineLvl w:val="1"/>
        <w:rPr>
          <w:rStyle w:val="25"/>
          <w:rFonts w:ascii="黑体" w:hAnsi="黑体" w:eastAsia="黑体"/>
          <w:b w:val="0"/>
        </w:rPr>
      </w:pPr>
    </w:p>
    <w:p>
      <w:pPr>
        <w:keepNext w:val="0"/>
        <w:keepLines w:val="0"/>
        <w:pageBreakBefore w:val="0"/>
        <w:widowControl w:val="0"/>
        <w:kinsoku/>
        <w:wordWrap/>
        <w:overflowPunct/>
        <w:topLinePunct w:val="0"/>
        <w:autoSpaceDE/>
        <w:autoSpaceDN/>
        <w:bidi w:val="0"/>
        <w:adjustRightInd/>
        <w:snapToGrid/>
        <w:spacing w:line="360" w:lineRule="auto"/>
        <w:ind w:firstLine="628" w:firstLineChars="200"/>
        <w:textAlignment w:val="auto"/>
        <w:rPr>
          <w:rFonts w:ascii="仿宋" w:hAnsi="仿宋" w:eastAsia="仿宋" w:cs="仿宋"/>
          <w:sz w:val="30"/>
          <w:szCs w:val="30"/>
        </w:rPr>
      </w:pPr>
      <w:r>
        <w:rPr>
          <w:rFonts w:ascii="仿宋" w:hAnsi="仿宋" w:eastAsia="仿宋" w:cs="仿宋"/>
          <w:spacing w:val="7"/>
          <w:sz w:val="30"/>
          <w:szCs w:val="30"/>
        </w:rPr>
        <w:t>202</w:t>
      </w:r>
      <w:r>
        <w:rPr>
          <w:rFonts w:hint="eastAsia" w:ascii="仿宋" w:hAnsi="仿宋" w:eastAsia="仿宋" w:cs="仿宋"/>
          <w:spacing w:val="7"/>
          <w:sz w:val="30"/>
          <w:szCs w:val="30"/>
          <w:lang w:val="en-US" w:eastAsia="zh-CN"/>
        </w:rPr>
        <w:t>2</w:t>
      </w:r>
      <w:r>
        <w:rPr>
          <w:rFonts w:ascii="仿宋" w:hAnsi="仿宋" w:eastAsia="仿宋" w:cs="仿宋"/>
          <w:spacing w:val="-34"/>
          <w:sz w:val="30"/>
          <w:szCs w:val="30"/>
        </w:rPr>
        <w:t xml:space="preserve"> </w:t>
      </w:r>
      <w:r>
        <w:rPr>
          <w:rFonts w:ascii="仿宋" w:hAnsi="仿宋" w:eastAsia="仿宋" w:cs="仿宋"/>
          <w:spacing w:val="7"/>
          <w:sz w:val="30"/>
          <w:szCs w:val="30"/>
        </w:rPr>
        <w:t>年度收入总计</w:t>
      </w:r>
      <w:r>
        <w:rPr>
          <w:rFonts w:ascii="仿宋" w:hAnsi="仿宋" w:eastAsia="仿宋" w:cs="仿宋"/>
          <w:spacing w:val="-46"/>
          <w:sz w:val="30"/>
          <w:szCs w:val="30"/>
        </w:rPr>
        <w:t xml:space="preserve"> </w:t>
      </w:r>
      <w:r>
        <w:rPr>
          <w:rFonts w:hint="eastAsia" w:ascii="仿宋" w:hAnsi="仿宋" w:eastAsia="仿宋" w:cs="仿宋"/>
          <w:spacing w:val="7"/>
          <w:sz w:val="30"/>
          <w:szCs w:val="30"/>
          <w:lang w:val="en-US" w:eastAsia="zh-CN"/>
        </w:rPr>
        <w:t>65297.93</w:t>
      </w:r>
      <w:r>
        <w:rPr>
          <w:rFonts w:ascii="仿宋" w:hAnsi="仿宋" w:eastAsia="仿宋" w:cs="仿宋"/>
          <w:spacing w:val="7"/>
          <w:sz w:val="30"/>
          <w:szCs w:val="30"/>
        </w:rPr>
        <w:t>万元、支出总计</w:t>
      </w:r>
      <w:r>
        <w:rPr>
          <w:rFonts w:ascii="仿宋" w:hAnsi="仿宋" w:eastAsia="仿宋" w:cs="仿宋"/>
          <w:spacing w:val="-46"/>
          <w:sz w:val="30"/>
          <w:szCs w:val="30"/>
        </w:rPr>
        <w:t xml:space="preserve"> </w:t>
      </w:r>
      <w:r>
        <w:rPr>
          <w:rFonts w:hint="eastAsia" w:ascii="仿宋" w:hAnsi="仿宋" w:eastAsia="仿宋" w:cs="仿宋"/>
          <w:spacing w:val="7"/>
          <w:sz w:val="30"/>
          <w:szCs w:val="30"/>
          <w:lang w:val="en-US" w:eastAsia="zh-CN"/>
        </w:rPr>
        <w:t>62333.99</w:t>
      </w:r>
      <w:r>
        <w:rPr>
          <w:rFonts w:ascii="仿宋" w:hAnsi="仿宋" w:eastAsia="仿宋" w:cs="仿宋"/>
          <w:sz w:val="30"/>
          <w:szCs w:val="30"/>
        </w:rPr>
        <w:t xml:space="preserve"> </w:t>
      </w:r>
      <w:r>
        <w:rPr>
          <w:rFonts w:ascii="仿宋" w:hAnsi="仿宋" w:eastAsia="仿宋" w:cs="仿宋"/>
          <w:spacing w:val="7"/>
          <w:sz w:val="30"/>
          <w:szCs w:val="30"/>
        </w:rPr>
        <w:t>万元。与</w:t>
      </w:r>
      <w:r>
        <w:rPr>
          <w:rFonts w:ascii="仿宋" w:hAnsi="仿宋" w:eastAsia="仿宋" w:cs="仿宋"/>
          <w:spacing w:val="-37"/>
          <w:sz w:val="30"/>
          <w:szCs w:val="30"/>
        </w:rPr>
        <w:t xml:space="preserve"> </w:t>
      </w:r>
      <w:r>
        <w:rPr>
          <w:rFonts w:ascii="仿宋" w:hAnsi="仿宋" w:eastAsia="仿宋" w:cs="仿宋"/>
          <w:spacing w:val="7"/>
          <w:sz w:val="30"/>
          <w:szCs w:val="30"/>
        </w:rPr>
        <w:t>202</w:t>
      </w:r>
      <w:r>
        <w:rPr>
          <w:rFonts w:hint="eastAsia" w:ascii="仿宋" w:hAnsi="仿宋" w:eastAsia="仿宋" w:cs="仿宋"/>
          <w:spacing w:val="7"/>
          <w:sz w:val="30"/>
          <w:szCs w:val="30"/>
          <w:lang w:val="en-US" w:eastAsia="zh-CN"/>
        </w:rPr>
        <w:t>1</w:t>
      </w:r>
      <w:r>
        <w:rPr>
          <w:rFonts w:ascii="仿宋" w:hAnsi="仿宋" w:eastAsia="仿宋" w:cs="仿宋"/>
          <w:spacing w:val="-40"/>
          <w:sz w:val="30"/>
          <w:szCs w:val="30"/>
        </w:rPr>
        <w:t xml:space="preserve"> </w:t>
      </w:r>
      <w:r>
        <w:rPr>
          <w:rFonts w:ascii="仿宋" w:hAnsi="仿宋" w:eastAsia="仿宋" w:cs="仿宋"/>
          <w:spacing w:val="7"/>
          <w:sz w:val="30"/>
          <w:szCs w:val="30"/>
        </w:rPr>
        <w:t>年相比，收入总计增加</w:t>
      </w:r>
      <w:r>
        <w:rPr>
          <w:rFonts w:ascii="仿宋" w:hAnsi="仿宋" w:eastAsia="仿宋" w:cs="仿宋"/>
          <w:spacing w:val="-51"/>
          <w:sz w:val="30"/>
          <w:szCs w:val="30"/>
        </w:rPr>
        <w:t xml:space="preserve"> </w:t>
      </w:r>
      <w:r>
        <w:rPr>
          <w:rFonts w:hint="eastAsia" w:ascii="仿宋" w:hAnsi="仿宋" w:eastAsia="仿宋" w:cs="仿宋"/>
          <w:spacing w:val="7"/>
          <w:sz w:val="30"/>
          <w:szCs w:val="30"/>
          <w:lang w:val="en-US" w:eastAsia="zh-CN"/>
        </w:rPr>
        <w:t>5218.83</w:t>
      </w:r>
      <w:r>
        <w:rPr>
          <w:rFonts w:ascii="仿宋" w:hAnsi="仿宋" w:eastAsia="仿宋" w:cs="仿宋"/>
          <w:spacing w:val="-44"/>
          <w:sz w:val="30"/>
          <w:szCs w:val="30"/>
        </w:rPr>
        <w:t xml:space="preserve"> </w:t>
      </w:r>
      <w:r>
        <w:rPr>
          <w:rFonts w:ascii="仿宋" w:hAnsi="仿宋" w:eastAsia="仿宋" w:cs="仿宋"/>
          <w:spacing w:val="7"/>
          <w:sz w:val="30"/>
          <w:szCs w:val="30"/>
        </w:rPr>
        <w:t xml:space="preserve">万元、增长 </w:t>
      </w:r>
      <w:r>
        <w:rPr>
          <w:rFonts w:hint="eastAsia" w:ascii="仿宋" w:hAnsi="仿宋" w:eastAsia="仿宋" w:cs="仿宋"/>
          <w:spacing w:val="1"/>
          <w:sz w:val="30"/>
          <w:szCs w:val="30"/>
          <w:lang w:val="en-US" w:eastAsia="zh-CN"/>
        </w:rPr>
        <w:t>8.69</w:t>
      </w:r>
      <w:r>
        <w:rPr>
          <w:rFonts w:ascii="仿宋" w:hAnsi="仿宋" w:eastAsia="仿宋" w:cs="仿宋"/>
          <w:spacing w:val="1"/>
          <w:sz w:val="30"/>
          <w:szCs w:val="30"/>
        </w:rPr>
        <w:t>%，支出总计增加</w:t>
      </w:r>
      <w:r>
        <w:rPr>
          <w:rFonts w:hint="eastAsia" w:ascii="仿宋" w:hAnsi="仿宋" w:eastAsia="仿宋" w:cs="仿宋"/>
          <w:spacing w:val="7"/>
          <w:sz w:val="30"/>
          <w:szCs w:val="30"/>
          <w:lang w:val="en-US" w:eastAsia="zh-CN"/>
        </w:rPr>
        <w:t>2355.92</w:t>
      </w:r>
      <w:r>
        <w:rPr>
          <w:rFonts w:ascii="仿宋" w:hAnsi="仿宋" w:eastAsia="仿宋" w:cs="仿宋"/>
          <w:spacing w:val="1"/>
          <w:sz w:val="30"/>
          <w:szCs w:val="30"/>
        </w:rPr>
        <w:t>万元，增长</w:t>
      </w:r>
      <w:r>
        <w:rPr>
          <w:rFonts w:ascii="仿宋" w:hAnsi="仿宋" w:eastAsia="仿宋" w:cs="仿宋"/>
          <w:spacing w:val="-39"/>
          <w:sz w:val="30"/>
          <w:szCs w:val="30"/>
        </w:rPr>
        <w:t xml:space="preserve"> </w:t>
      </w:r>
      <w:r>
        <w:rPr>
          <w:rFonts w:hint="eastAsia" w:ascii="仿宋" w:hAnsi="仿宋" w:eastAsia="仿宋" w:cs="仿宋"/>
          <w:spacing w:val="1"/>
          <w:sz w:val="30"/>
          <w:szCs w:val="30"/>
          <w:lang w:val="en-US" w:eastAsia="zh-CN"/>
        </w:rPr>
        <w:t>3.93</w:t>
      </w:r>
      <w:r>
        <w:rPr>
          <w:rFonts w:ascii="仿宋" w:hAnsi="仿宋" w:eastAsia="仿宋" w:cs="仿宋"/>
          <w:spacing w:val="1"/>
          <w:sz w:val="30"/>
          <w:szCs w:val="30"/>
        </w:rPr>
        <w:t>%。</w:t>
      </w:r>
      <w:r>
        <w:rPr>
          <w:rFonts w:ascii="仿宋" w:hAnsi="仿宋" w:eastAsia="仿宋" w:cs="仿宋"/>
          <w:spacing w:val="12"/>
          <w:sz w:val="30"/>
          <w:szCs w:val="30"/>
        </w:rPr>
        <w:t>其中：财政拨款</w:t>
      </w:r>
      <w:r>
        <w:rPr>
          <w:rFonts w:hint="eastAsia" w:ascii="仿宋" w:hAnsi="仿宋" w:eastAsia="仿宋" w:cs="仿宋"/>
          <w:spacing w:val="12"/>
          <w:sz w:val="30"/>
          <w:szCs w:val="30"/>
          <w:lang w:val="en-US" w:eastAsia="zh-CN"/>
        </w:rPr>
        <w:t>减少</w:t>
      </w:r>
      <w:r>
        <w:rPr>
          <w:rFonts w:ascii="仿宋" w:hAnsi="仿宋" w:eastAsia="仿宋" w:cs="仿宋"/>
          <w:spacing w:val="-44"/>
          <w:sz w:val="30"/>
          <w:szCs w:val="30"/>
        </w:rPr>
        <w:t xml:space="preserve"> </w:t>
      </w:r>
      <w:r>
        <w:rPr>
          <w:rFonts w:hint="eastAsia" w:ascii="仿宋" w:hAnsi="仿宋" w:eastAsia="仿宋" w:cs="仿宋"/>
          <w:spacing w:val="12"/>
          <w:sz w:val="30"/>
          <w:szCs w:val="30"/>
          <w:lang w:val="en-US" w:eastAsia="zh-CN"/>
        </w:rPr>
        <w:t>5797.19</w:t>
      </w:r>
      <w:r>
        <w:rPr>
          <w:rFonts w:ascii="仿宋" w:hAnsi="仿宋" w:eastAsia="仿宋" w:cs="仿宋"/>
          <w:spacing w:val="-41"/>
          <w:sz w:val="30"/>
          <w:szCs w:val="30"/>
        </w:rPr>
        <w:t xml:space="preserve"> </w:t>
      </w:r>
      <w:r>
        <w:rPr>
          <w:rFonts w:ascii="仿宋" w:hAnsi="仿宋" w:eastAsia="仿宋" w:cs="仿宋"/>
          <w:spacing w:val="12"/>
          <w:sz w:val="30"/>
          <w:szCs w:val="30"/>
        </w:rPr>
        <w:t>万元，事</w:t>
      </w:r>
      <w:r>
        <w:rPr>
          <w:rFonts w:ascii="仿宋" w:hAnsi="仿宋" w:eastAsia="仿宋" w:cs="仿宋"/>
          <w:spacing w:val="11"/>
          <w:sz w:val="30"/>
          <w:szCs w:val="30"/>
        </w:rPr>
        <w:t>业收入增加</w:t>
      </w:r>
      <w:r>
        <w:rPr>
          <w:rFonts w:ascii="仿宋" w:hAnsi="仿宋" w:eastAsia="仿宋" w:cs="仿宋"/>
          <w:spacing w:val="-53"/>
          <w:sz w:val="30"/>
          <w:szCs w:val="30"/>
        </w:rPr>
        <w:t xml:space="preserve"> </w:t>
      </w:r>
      <w:r>
        <w:rPr>
          <w:rFonts w:hint="eastAsia" w:ascii="仿宋" w:hAnsi="仿宋" w:eastAsia="仿宋" w:cs="仿宋"/>
          <w:spacing w:val="11"/>
          <w:sz w:val="30"/>
          <w:szCs w:val="30"/>
          <w:lang w:val="en-US" w:eastAsia="zh-CN"/>
        </w:rPr>
        <w:t>8988.34</w:t>
      </w:r>
      <w:r>
        <w:rPr>
          <w:rFonts w:ascii="仿宋" w:hAnsi="仿宋" w:eastAsia="仿宋" w:cs="仿宋"/>
          <w:spacing w:val="3"/>
          <w:sz w:val="30"/>
          <w:szCs w:val="30"/>
        </w:rPr>
        <w:t>万元，经营收入增加</w:t>
      </w:r>
      <w:r>
        <w:rPr>
          <w:rFonts w:ascii="仿宋" w:hAnsi="仿宋" w:eastAsia="仿宋" w:cs="仿宋"/>
          <w:spacing w:val="-41"/>
          <w:sz w:val="30"/>
          <w:szCs w:val="30"/>
        </w:rPr>
        <w:t xml:space="preserve"> </w:t>
      </w:r>
      <w:r>
        <w:rPr>
          <w:rFonts w:hint="eastAsia" w:ascii="仿宋" w:hAnsi="仿宋" w:eastAsia="仿宋" w:cs="仿宋"/>
          <w:spacing w:val="3"/>
          <w:sz w:val="30"/>
          <w:szCs w:val="30"/>
          <w:lang w:val="en-US" w:eastAsia="zh-CN"/>
        </w:rPr>
        <w:t>2005.48</w:t>
      </w:r>
      <w:r>
        <w:rPr>
          <w:rFonts w:ascii="仿宋" w:hAnsi="仿宋" w:eastAsia="仿宋" w:cs="仿宋"/>
          <w:spacing w:val="-51"/>
          <w:sz w:val="30"/>
          <w:szCs w:val="30"/>
        </w:rPr>
        <w:t xml:space="preserve"> </w:t>
      </w:r>
      <w:r>
        <w:rPr>
          <w:rFonts w:ascii="仿宋" w:hAnsi="仿宋" w:eastAsia="仿宋" w:cs="仿宋"/>
          <w:spacing w:val="3"/>
          <w:sz w:val="30"/>
          <w:szCs w:val="30"/>
        </w:rPr>
        <w:t>万元，其他收入增加</w:t>
      </w:r>
      <w:r>
        <w:rPr>
          <w:rFonts w:ascii="仿宋" w:hAnsi="仿宋" w:eastAsia="仿宋" w:cs="仿宋"/>
          <w:spacing w:val="-58"/>
          <w:sz w:val="30"/>
          <w:szCs w:val="30"/>
        </w:rPr>
        <w:t xml:space="preserve"> </w:t>
      </w:r>
      <w:r>
        <w:rPr>
          <w:rFonts w:hint="eastAsia" w:ascii="仿宋" w:hAnsi="仿宋" w:eastAsia="仿宋" w:cs="仿宋"/>
          <w:spacing w:val="3"/>
          <w:sz w:val="30"/>
          <w:szCs w:val="30"/>
          <w:lang w:val="en-US" w:eastAsia="zh-CN"/>
        </w:rPr>
        <w:t>22.20</w:t>
      </w:r>
      <w:r>
        <w:rPr>
          <w:rFonts w:ascii="仿宋" w:hAnsi="仿宋" w:eastAsia="仿宋" w:cs="仿宋"/>
          <w:spacing w:val="-53"/>
          <w:sz w:val="30"/>
          <w:szCs w:val="30"/>
        </w:rPr>
        <w:t xml:space="preserve"> </w:t>
      </w:r>
      <w:r>
        <w:rPr>
          <w:rFonts w:ascii="仿宋" w:hAnsi="仿宋" w:eastAsia="仿宋" w:cs="仿宋"/>
          <w:spacing w:val="2"/>
          <w:sz w:val="30"/>
          <w:szCs w:val="30"/>
        </w:rPr>
        <w:t>万</w:t>
      </w:r>
      <w:r>
        <w:rPr>
          <w:rFonts w:ascii="仿宋" w:hAnsi="仿宋" w:eastAsia="仿宋" w:cs="仿宋"/>
          <w:spacing w:val="7"/>
          <w:sz w:val="30"/>
          <w:szCs w:val="30"/>
        </w:rPr>
        <w:t>元，主要原因：财政拨款</w:t>
      </w:r>
      <w:r>
        <w:rPr>
          <w:rFonts w:hint="eastAsia" w:ascii="仿宋" w:hAnsi="仿宋" w:eastAsia="仿宋" w:cs="仿宋"/>
          <w:spacing w:val="7"/>
          <w:sz w:val="30"/>
          <w:szCs w:val="30"/>
          <w:lang w:val="en-US" w:eastAsia="zh-CN"/>
        </w:rPr>
        <w:t>减少是因为高校共建与发展专项资金及教育现代化推进工程项目拨款的</w:t>
      </w:r>
      <w:r>
        <w:rPr>
          <w:rFonts w:hint="eastAsia" w:ascii="仿宋" w:hAnsi="仿宋" w:eastAsia="仿宋" w:cs="仿宋"/>
          <w:spacing w:val="-4"/>
          <w:sz w:val="30"/>
          <w:szCs w:val="30"/>
          <w:lang w:val="en-US" w:eastAsia="zh-CN"/>
        </w:rPr>
        <w:t>减少</w:t>
      </w:r>
      <w:r>
        <w:rPr>
          <w:rFonts w:ascii="仿宋" w:hAnsi="仿宋" w:eastAsia="仿宋" w:cs="仿宋"/>
          <w:spacing w:val="-4"/>
          <w:sz w:val="30"/>
          <w:szCs w:val="30"/>
        </w:rPr>
        <w:t>；</w:t>
      </w:r>
      <w:r>
        <w:rPr>
          <w:rFonts w:hint="eastAsia" w:ascii="仿宋" w:hAnsi="仿宋" w:eastAsia="仿宋" w:cs="仿宋"/>
          <w:spacing w:val="-4"/>
          <w:sz w:val="30"/>
          <w:szCs w:val="30"/>
        </w:rPr>
        <w:t>事业收入增加是财政专户资金支出较上年大幅增长，横向科研经费较上年增加较多；经营收入增加是因为今年学校将学生食堂全部收回自营；其他收入增加是因为省民族运动会凉山州教体局转的集训费及学校举办的短期培训业务增大等。</w:t>
      </w:r>
    </w:p>
    <w:p>
      <w:pPr>
        <w:keepNext w:val="0"/>
        <w:keepLines w:val="0"/>
        <w:pageBreakBefore w:val="0"/>
        <w:widowControl w:val="0"/>
        <w:kinsoku/>
        <w:wordWrap/>
        <w:overflowPunct w:val="0"/>
        <w:topLinePunct w:val="0"/>
        <w:autoSpaceDE/>
        <w:autoSpaceDN/>
        <w:bidi w:val="0"/>
        <w:adjustRightInd/>
        <w:snapToGrid w:val="0"/>
        <w:spacing w:line="360" w:lineRule="auto"/>
        <w:ind w:left="34" w:right="28" w:firstLine="675"/>
        <w:textAlignment w:val="auto"/>
        <w:rPr>
          <w:rFonts w:hint="eastAsia" w:ascii="仿宋" w:hAnsi="仿宋" w:eastAsia="仿宋" w:cs="仿宋"/>
          <w:spacing w:val="8"/>
          <w:position w:val="21"/>
          <w:sz w:val="30"/>
          <w:szCs w:val="30"/>
          <w:lang w:val="en-US" w:eastAsia="zh-CN"/>
        </w:rPr>
      </w:pPr>
      <w:r>
        <w:rPr>
          <w:rFonts w:ascii="仿宋" w:hAnsi="仿宋" w:eastAsia="仿宋" w:cs="仿宋"/>
          <w:spacing w:val="-7"/>
          <w:sz w:val="30"/>
          <w:szCs w:val="30"/>
        </w:rPr>
        <w:t>当年支出比上年增加</w:t>
      </w:r>
      <w:r>
        <w:rPr>
          <w:rFonts w:hint="eastAsia" w:ascii="仿宋" w:hAnsi="仿宋" w:eastAsia="仿宋" w:cs="仿宋"/>
          <w:spacing w:val="12"/>
          <w:sz w:val="30"/>
          <w:szCs w:val="30"/>
          <w:lang w:val="en-US" w:eastAsia="zh-CN"/>
        </w:rPr>
        <w:t>2355.92</w:t>
      </w:r>
      <w:r>
        <w:rPr>
          <w:rFonts w:ascii="仿宋" w:hAnsi="仿宋" w:eastAsia="仿宋" w:cs="仿宋"/>
          <w:spacing w:val="-7"/>
          <w:sz w:val="30"/>
          <w:szCs w:val="30"/>
        </w:rPr>
        <w:t>万元，增长</w:t>
      </w:r>
      <w:r>
        <w:rPr>
          <w:rFonts w:ascii="仿宋" w:hAnsi="仿宋" w:eastAsia="仿宋" w:cs="仿宋"/>
          <w:spacing w:val="-38"/>
          <w:sz w:val="30"/>
          <w:szCs w:val="30"/>
        </w:rPr>
        <w:t xml:space="preserve"> </w:t>
      </w:r>
      <w:r>
        <w:rPr>
          <w:rFonts w:hint="eastAsia" w:ascii="仿宋" w:hAnsi="仿宋" w:eastAsia="仿宋" w:cs="仿宋"/>
          <w:spacing w:val="-7"/>
          <w:sz w:val="30"/>
          <w:szCs w:val="30"/>
          <w:lang w:val="en-US" w:eastAsia="zh-CN"/>
        </w:rPr>
        <w:t>3.93</w:t>
      </w:r>
      <w:r>
        <w:rPr>
          <w:rFonts w:ascii="仿宋" w:hAnsi="仿宋" w:eastAsia="仿宋" w:cs="仿宋"/>
          <w:spacing w:val="-7"/>
          <w:sz w:val="30"/>
          <w:szCs w:val="30"/>
        </w:rPr>
        <w:t>%。其中：</w:t>
      </w:r>
      <w:r>
        <w:rPr>
          <w:rFonts w:ascii="仿宋" w:hAnsi="仿宋" w:eastAsia="仿宋" w:cs="仿宋"/>
          <w:spacing w:val="9"/>
          <w:sz w:val="30"/>
          <w:szCs w:val="30"/>
        </w:rPr>
        <w:t>基本支出增加</w:t>
      </w:r>
      <w:r>
        <w:rPr>
          <w:rFonts w:ascii="仿宋" w:hAnsi="仿宋" w:eastAsia="仿宋" w:cs="仿宋"/>
          <w:spacing w:val="-37"/>
          <w:sz w:val="30"/>
          <w:szCs w:val="30"/>
        </w:rPr>
        <w:t xml:space="preserve"> </w:t>
      </w:r>
      <w:r>
        <w:rPr>
          <w:rFonts w:hint="eastAsia" w:ascii="仿宋" w:hAnsi="仿宋" w:eastAsia="仿宋" w:cs="仿宋"/>
          <w:spacing w:val="9"/>
          <w:sz w:val="30"/>
          <w:szCs w:val="30"/>
          <w:lang w:val="en-US" w:eastAsia="zh-CN"/>
        </w:rPr>
        <w:t>4423.16</w:t>
      </w:r>
      <w:r>
        <w:rPr>
          <w:rFonts w:ascii="仿宋" w:hAnsi="仿宋" w:eastAsia="仿宋" w:cs="仿宋"/>
          <w:spacing w:val="-44"/>
          <w:sz w:val="30"/>
          <w:szCs w:val="30"/>
        </w:rPr>
        <w:t xml:space="preserve"> </w:t>
      </w:r>
      <w:r>
        <w:rPr>
          <w:rFonts w:ascii="仿宋" w:hAnsi="仿宋" w:eastAsia="仿宋" w:cs="仿宋"/>
          <w:spacing w:val="9"/>
          <w:sz w:val="30"/>
          <w:szCs w:val="30"/>
        </w:rPr>
        <w:t>万元，项目支出</w:t>
      </w:r>
      <w:r>
        <w:rPr>
          <w:rFonts w:hint="eastAsia" w:ascii="仿宋" w:hAnsi="仿宋" w:eastAsia="仿宋" w:cs="仿宋"/>
          <w:spacing w:val="9"/>
          <w:sz w:val="30"/>
          <w:szCs w:val="30"/>
          <w:lang w:val="en-US" w:eastAsia="zh-CN"/>
        </w:rPr>
        <w:t>减少</w:t>
      </w:r>
      <w:r>
        <w:rPr>
          <w:rFonts w:ascii="仿宋" w:hAnsi="仿宋" w:eastAsia="仿宋" w:cs="仿宋"/>
          <w:spacing w:val="-53"/>
          <w:sz w:val="30"/>
          <w:szCs w:val="30"/>
        </w:rPr>
        <w:t xml:space="preserve"> </w:t>
      </w:r>
      <w:r>
        <w:rPr>
          <w:rFonts w:hint="eastAsia" w:ascii="仿宋" w:hAnsi="仿宋" w:eastAsia="仿宋" w:cs="仿宋"/>
          <w:spacing w:val="9"/>
          <w:sz w:val="30"/>
          <w:szCs w:val="30"/>
          <w:lang w:val="en-US" w:eastAsia="zh-CN"/>
        </w:rPr>
        <w:t>4130.96</w:t>
      </w:r>
      <w:r>
        <w:rPr>
          <w:rFonts w:ascii="仿宋" w:hAnsi="仿宋" w:eastAsia="仿宋" w:cs="仿宋"/>
          <w:spacing w:val="-44"/>
          <w:sz w:val="30"/>
          <w:szCs w:val="30"/>
        </w:rPr>
        <w:t xml:space="preserve"> </w:t>
      </w:r>
      <w:r>
        <w:rPr>
          <w:rFonts w:ascii="仿宋" w:hAnsi="仿宋" w:eastAsia="仿宋" w:cs="仿宋"/>
          <w:spacing w:val="9"/>
          <w:sz w:val="30"/>
          <w:szCs w:val="30"/>
        </w:rPr>
        <w:t>万元，</w:t>
      </w:r>
      <w:r>
        <w:rPr>
          <w:rFonts w:ascii="仿宋" w:hAnsi="仿宋" w:eastAsia="仿宋" w:cs="仿宋"/>
          <w:spacing w:val="11"/>
          <w:sz w:val="30"/>
          <w:szCs w:val="30"/>
        </w:rPr>
        <w:t>经营支出增加</w:t>
      </w:r>
      <w:r>
        <w:rPr>
          <w:rFonts w:ascii="仿宋" w:hAnsi="仿宋" w:eastAsia="仿宋" w:cs="仿宋"/>
          <w:spacing w:val="-43"/>
          <w:sz w:val="30"/>
          <w:szCs w:val="30"/>
        </w:rPr>
        <w:t xml:space="preserve"> </w:t>
      </w:r>
      <w:r>
        <w:rPr>
          <w:rFonts w:ascii="仿宋" w:hAnsi="仿宋" w:eastAsia="仿宋" w:cs="仿宋"/>
          <w:spacing w:val="11"/>
          <w:sz w:val="30"/>
          <w:szCs w:val="30"/>
        </w:rPr>
        <w:t>20</w:t>
      </w:r>
      <w:r>
        <w:rPr>
          <w:rFonts w:hint="eastAsia" w:ascii="仿宋" w:hAnsi="仿宋" w:eastAsia="仿宋" w:cs="仿宋"/>
          <w:spacing w:val="11"/>
          <w:sz w:val="30"/>
          <w:szCs w:val="30"/>
          <w:lang w:val="en-US" w:eastAsia="zh-CN"/>
        </w:rPr>
        <w:t>63</w:t>
      </w:r>
      <w:r>
        <w:rPr>
          <w:rFonts w:ascii="仿宋" w:hAnsi="仿宋" w:eastAsia="仿宋" w:cs="仿宋"/>
          <w:spacing w:val="11"/>
          <w:sz w:val="30"/>
          <w:szCs w:val="30"/>
        </w:rPr>
        <w:t>.</w:t>
      </w:r>
      <w:r>
        <w:rPr>
          <w:rFonts w:hint="eastAsia" w:ascii="仿宋" w:hAnsi="仿宋" w:eastAsia="仿宋" w:cs="仿宋"/>
          <w:spacing w:val="11"/>
          <w:sz w:val="30"/>
          <w:szCs w:val="30"/>
          <w:lang w:val="en-US" w:eastAsia="zh-CN"/>
        </w:rPr>
        <w:t>73</w:t>
      </w:r>
      <w:r>
        <w:rPr>
          <w:rFonts w:ascii="仿宋" w:hAnsi="仿宋" w:eastAsia="仿宋" w:cs="仿宋"/>
          <w:spacing w:val="-44"/>
          <w:sz w:val="30"/>
          <w:szCs w:val="30"/>
        </w:rPr>
        <w:t xml:space="preserve"> </w:t>
      </w:r>
      <w:r>
        <w:rPr>
          <w:rFonts w:ascii="仿宋" w:hAnsi="仿宋" w:eastAsia="仿宋" w:cs="仿宋"/>
          <w:spacing w:val="11"/>
          <w:sz w:val="30"/>
          <w:szCs w:val="30"/>
        </w:rPr>
        <w:t>万元。支出差异原因：基本支出增加</w:t>
      </w:r>
      <w:r>
        <w:rPr>
          <w:rFonts w:ascii="仿宋" w:hAnsi="仿宋" w:eastAsia="仿宋" w:cs="仿宋"/>
          <w:spacing w:val="8"/>
          <w:sz w:val="30"/>
          <w:szCs w:val="30"/>
        </w:rPr>
        <w:t>的主要原因是大量引进高层次人才，增加了工资福利支出；</w:t>
      </w:r>
      <w:r>
        <w:rPr>
          <w:rFonts w:ascii="仿宋" w:hAnsi="仿宋" w:eastAsia="仿宋" w:cs="仿宋"/>
          <w:spacing w:val="21"/>
          <w:sz w:val="30"/>
          <w:szCs w:val="30"/>
        </w:rPr>
        <w:t>项目支出</w:t>
      </w:r>
      <w:r>
        <w:rPr>
          <w:rFonts w:hint="eastAsia" w:ascii="仿宋" w:hAnsi="仿宋" w:eastAsia="仿宋" w:cs="仿宋"/>
          <w:spacing w:val="21"/>
          <w:sz w:val="30"/>
          <w:szCs w:val="30"/>
          <w:lang w:val="en-US" w:eastAsia="zh-CN"/>
        </w:rPr>
        <w:t>减少</w:t>
      </w:r>
      <w:r>
        <w:rPr>
          <w:rFonts w:ascii="仿宋" w:hAnsi="仿宋" w:eastAsia="仿宋" w:cs="仿宋"/>
          <w:spacing w:val="21"/>
          <w:sz w:val="30"/>
          <w:szCs w:val="30"/>
        </w:rPr>
        <w:t>的主要原因是</w:t>
      </w:r>
      <w:r>
        <w:rPr>
          <w:rFonts w:hint="eastAsia" w:ascii="仿宋" w:hAnsi="仿宋" w:eastAsia="仿宋" w:cs="仿宋"/>
          <w:spacing w:val="7"/>
          <w:sz w:val="30"/>
          <w:szCs w:val="30"/>
          <w:lang w:val="en-US" w:eastAsia="zh-CN"/>
        </w:rPr>
        <w:t>高校共建与发展专项资金及教育现代化推进工程项目拨款的减少；经营支出增加的原因是</w:t>
      </w:r>
      <w:r>
        <w:rPr>
          <w:rFonts w:hint="eastAsia" w:ascii="仿宋" w:hAnsi="仿宋" w:eastAsia="仿宋" w:cs="仿宋"/>
          <w:spacing w:val="8"/>
          <w:position w:val="21"/>
          <w:sz w:val="30"/>
          <w:szCs w:val="30"/>
          <w:lang w:val="en-US" w:eastAsia="zh-CN"/>
        </w:rPr>
        <w:t>2022年学校将学生食堂全部收回自营。</w:t>
      </w:r>
    </w:p>
    <w:p>
      <w:pPr>
        <w:keepNext w:val="0"/>
        <w:keepLines w:val="0"/>
        <w:pageBreakBefore w:val="0"/>
        <w:widowControl w:val="0"/>
        <w:kinsoku/>
        <w:wordWrap/>
        <w:overflowPunct/>
        <w:topLinePunct w:val="0"/>
        <w:autoSpaceDE/>
        <w:autoSpaceDN/>
        <w:bidi w:val="0"/>
        <w:adjustRightInd/>
        <w:snapToGrid/>
        <w:spacing w:line="360" w:lineRule="auto"/>
        <w:ind w:left="0" w:right="28" w:hanging="978" w:hangingChars="300"/>
        <w:jc w:val="center"/>
        <w:textAlignment w:val="auto"/>
        <w:rPr>
          <w:rFonts w:hint="eastAsia" w:ascii="仿宋" w:hAnsi="仿宋" w:eastAsia="仿宋" w:cs="仿宋"/>
          <w:spacing w:val="8"/>
          <w:position w:val="21"/>
          <w:sz w:val="31"/>
          <w:szCs w:val="31"/>
          <w:lang w:val="en-US" w:eastAsia="zh-CN"/>
        </w:rPr>
      </w:pPr>
      <w:r>
        <w:rPr>
          <w:rFonts w:hint="eastAsia" w:ascii="仿宋" w:hAnsi="仿宋" w:eastAsia="仿宋" w:cs="仿宋"/>
          <w:spacing w:val="8"/>
          <w:position w:val="21"/>
          <w:sz w:val="31"/>
          <w:szCs w:val="31"/>
          <w:lang w:val="en-US" w:eastAsia="zh-CN"/>
        </w:rPr>
        <w:drawing>
          <wp:inline distT="0" distB="0" distL="114300" distR="114300">
            <wp:extent cx="4942840" cy="2656205"/>
            <wp:effectExtent l="4445" t="4445" r="5715" b="6350"/>
            <wp:docPr id="2"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right="28" w:hanging="678" w:hangingChars="300"/>
        <w:jc w:val="center"/>
        <w:textAlignment w:val="auto"/>
        <w:rPr>
          <w:rFonts w:ascii="仿宋" w:hAnsi="仿宋" w:eastAsia="仿宋" w:cs="仿宋"/>
          <w:sz w:val="21"/>
          <w:szCs w:val="21"/>
        </w:rPr>
      </w:pPr>
      <w:r>
        <w:rPr>
          <w:rFonts w:ascii="仿宋" w:hAnsi="仿宋" w:eastAsia="仿宋" w:cs="仿宋"/>
          <w:spacing w:val="8"/>
          <w:sz w:val="21"/>
          <w:szCs w:val="21"/>
        </w:rPr>
        <w:t>（图</w:t>
      </w:r>
      <w:r>
        <w:rPr>
          <w:rFonts w:ascii="仿宋" w:hAnsi="仿宋" w:eastAsia="仿宋" w:cs="仿宋"/>
          <w:spacing w:val="-22"/>
          <w:sz w:val="21"/>
          <w:szCs w:val="21"/>
        </w:rPr>
        <w:t xml:space="preserve"> </w:t>
      </w:r>
      <w:r>
        <w:rPr>
          <w:rFonts w:ascii="仿宋" w:hAnsi="仿宋" w:eastAsia="仿宋" w:cs="仿宋"/>
          <w:spacing w:val="8"/>
          <w:sz w:val="21"/>
          <w:szCs w:val="21"/>
        </w:rPr>
        <w:t>1：收、支决算总计变动情况图</w:t>
      </w:r>
      <w:r>
        <w:rPr>
          <w:rFonts w:ascii="仿宋" w:hAnsi="仿宋" w:eastAsia="仿宋" w:cs="仿宋"/>
          <w:spacing w:val="-4"/>
          <w:sz w:val="21"/>
          <w:szCs w:val="21"/>
        </w:rPr>
        <w:t>）（</w:t>
      </w:r>
      <w:r>
        <w:rPr>
          <w:rFonts w:ascii="仿宋" w:hAnsi="仿宋" w:eastAsia="仿宋" w:cs="仿宋"/>
          <w:spacing w:val="8"/>
          <w:sz w:val="21"/>
          <w:szCs w:val="21"/>
        </w:rPr>
        <w:t>柱状图）         单位：万元</w:t>
      </w:r>
    </w:p>
    <w:p>
      <w:pPr>
        <w:pStyle w:val="23"/>
        <w:numPr>
          <w:ilvl w:val="0"/>
          <w:numId w:val="3"/>
        </w:numPr>
        <w:spacing w:line="600" w:lineRule="exact"/>
        <w:ind w:firstLineChars="0"/>
        <w:outlineLvl w:val="1"/>
        <w:rPr>
          <w:rStyle w:val="25"/>
          <w:rFonts w:ascii="黑体" w:hAnsi="黑体" w:eastAsia="黑体"/>
          <w:b w:val="0"/>
        </w:rPr>
      </w:pPr>
      <w:bookmarkStart w:id="28" w:name="_Toc23361"/>
      <w:bookmarkStart w:id="29" w:name="_Toc15396604"/>
      <w:bookmarkStart w:id="30" w:name="_Toc15377206"/>
      <w:r>
        <w:rPr>
          <w:rFonts w:hint="eastAsia" w:ascii="黑体" w:hAnsi="黑体" w:eastAsia="黑体"/>
          <w:sz w:val="32"/>
          <w:szCs w:val="32"/>
        </w:rPr>
        <w:t>收</w:t>
      </w:r>
      <w:r>
        <w:rPr>
          <w:rStyle w:val="25"/>
          <w:rFonts w:hint="eastAsia" w:ascii="黑体" w:hAnsi="黑体" w:eastAsia="黑体"/>
          <w:b w:val="0"/>
        </w:rPr>
        <w:t>入决算情况说明</w:t>
      </w:r>
      <w:bookmarkEnd w:id="28"/>
      <w:bookmarkEnd w:id="29"/>
      <w:bookmarkEnd w:id="30"/>
    </w:p>
    <w:p>
      <w:pPr>
        <w:spacing w:line="600" w:lineRule="exact"/>
        <w:ind w:firstLine="600" w:firstLineChars="200"/>
        <w:outlineLvl w:val="9"/>
        <w:rPr>
          <w:rFonts w:ascii="仿宋" w:hAnsi="仿宋" w:eastAsia="仿宋"/>
          <w:sz w:val="30"/>
          <w:szCs w:val="30"/>
        </w:rPr>
      </w:pPr>
      <w:r>
        <w:rPr>
          <w:rFonts w:ascii="仿宋" w:hAnsi="仿宋" w:eastAsia="仿宋"/>
          <w:sz w:val="30"/>
          <w:szCs w:val="30"/>
        </w:rPr>
        <w:t>20</w:t>
      </w:r>
      <w:r>
        <w:rPr>
          <w:rFonts w:hint="eastAsia" w:ascii="仿宋" w:hAnsi="仿宋" w:eastAsia="仿宋"/>
          <w:sz w:val="30"/>
          <w:szCs w:val="30"/>
        </w:rPr>
        <w:t>22年本年收入合计</w:t>
      </w:r>
      <w:r>
        <w:rPr>
          <w:rFonts w:hint="eastAsia" w:ascii="仿宋" w:hAnsi="仿宋" w:eastAsia="仿宋"/>
          <w:sz w:val="30"/>
          <w:szCs w:val="30"/>
          <w:lang w:val="en-US" w:eastAsia="zh-CN"/>
        </w:rPr>
        <w:t>65297.93</w:t>
      </w:r>
      <w:r>
        <w:rPr>
          <w:rFonts w:hint="eastAsia" w:ascii="仿宋" w:hAnsi="仿宋" w:eastAsia="仿宋"/>
          <w:sz w:val="30"/>
          <w:szCs w:val="30"/>
        </w:rPr>
        <w:t>万元，其中：一般公共预算财政拨款收入</w:t>
      </w:r>
      <w:r>
        <w:rPr>
          <w:rFonts w:hint="eastAsia" w:ascii="仿宋" w:hAnsi="仿宋" w:eastAsia="仿宋"/>
          <w:sz w:val="30"/>
          <w:szCs w:val="30"/>
          <w:lang w:val="en-US" w:eastAsia="zh-CN"/>
        </w:rPr>
        <w:t>44411.43</w:t>
      </w:r>
      <w:r>
        <w:rPr>
          <w:rFonts w:hint="eastAsia" w:ascii="仿宋" w:hAnsi="仿宋" w:eastAsia="仿宋"/>
          <w:sz w:val="30"/>
          <w:szCs w:val="30"/>
        </w:rPr>
        <w:t>万元，占</w:t>
      </w:r>
      <w:r>
        <w:rPr>
          <w:rFonts w:hint="eastAsia" w:ascii="仿宋" w:hAnsi="仿宋" w:eastAsia="仿宋"/>
          <w:sz w:val="30"/>
          <w:szCs w:val="30"/>
          <w:lang w:val="en-US" w:eastAsia="zh-CN"/>
        </w:rPr>
        <w:t>68.02</w:t>
      </w:r>
      <w:r>
        <w:rPr>
          <w:rFonts w:ascii="仿宋" w:hAnsi="仿宋" w:eastAsia="仿宋"/>
          <w:sz w:val="30"/>
          <w:szCs w:val="30"/>
        </w:rPr>
        <w:t>%</w:t>
      </w:r>
      <w:r>
        <w:rPr>
          <w:rFonts w:hint="eastAsia" w:ascii="仿宋" w:hAnsi="仿宋" w:eastAsia="仿宋"/>
          <w:sz w:val="30"/>
          <w:szCs w:val="30"/>
        </w:rPr>
        <w:t>；事业收入</w:t>
      </w:r>
      <w:r>
        <w:rPr>
          <w:rFonts w:hint="eastAsia" w:ascii="仿宋" w:hAnsi="仿宋" w:eastAsia="仿宋"/>
          <w:sz w:val="30"/>
          <w:szCs w:val="30"/>
          <w:lang w:val="en-US" w:eastAsia="zh-CN"/>
        </w:rPr>
        <w:t>15019.63</w:t>
      </w:r>
      <w:r>
        <w:rPr>
          <w:rFonts w:hint="eastAsia" w:ascii="仿宋" w:hAnsi="仿宋" w:eastAsia="仿宋"/>
          <w:sz w:val="30"/>
          <w:szCs w:val="30"/>
        </w:rPr>
        <w:t>万元，占</w:t>
      </w:r>
      <w:r>
        <w:rPr>
          <w:rFonts w:hint="eastAsia" w:ascii="仿宋" w:hAnsi="仿宋" w:eastAsia="仿宋"/>
          <w:sz w:val="30"/>
          <w:szCs w:val="30"/>
          <w:lang w:val="en-US" w:eastAsia="zh-CN"/>
        </w:rPr>
        <w:t>23</w:t>
      </w:r>
      <w:r>
        <w:rPr>
          <w:rFonts w:ascii="仿宋" w:hAnsi="仿宋" w:eastAsia="仿宋"/>
          <w:sz w:val="30"/>
          <w:szCs w:val="30"/>
        </w:rPr>
        <w:t>%</w:t>
      </w:r>
      <w:r>
        <w:rPr>
          <w:rFonts w:hint="eastAsia" w:ascii="仿宋" w:hAnsi="仿宋" w:eastAsia="仿宋"/>
          <w:sz w:val="30"/>
          <w:szCs w:val="30"/>
        </w:rPr>
        <w:t>；经营收入</w:t>
      </w:r>
      <w:r>
        <w:rPr>
          <w:rFonts w:hint="eastAsia" w:ascii="仿宋" w:hAnsi="仿宋" w:eastAsia="仿宋"/>
          <w:sz w:val="30"/>
          <w:szCs w:val="30"/>
          <w:lang w:val="en-US" w:eastAsia="zh-CN"/>
        </w:rPr>
        <w:t>2475.66</w:t>
      </w:r>
      <w:r>
        <w:rPr>
          <w:rFonts w:hint="eastAsia" w:ascii="仿宋" w:hAnsi="仿宋" w:eastAsia="仿宋"/>
          <w:sz w:val="30"/>
          <w:szCs w:val="30"/>
        </w:rPr>
        <w:t>万元，占</w:t>
      </w:r>
      <w:r>
        <w:rPr>
          <w:rFonts w:hint="eastAsia" w:ascii="仿宋" w:hAnsi="仿宋" w:eastAsia="仿宋"/>
          <w:sz w:val="30"/>
          <w:szCs w:val="30"/>
          <w:lang w:val="en-US" w:eastAsia="zh-CN"/>
        </w:rPr>
        <w:t>3.79</w:t>
      </w:r>
      <w:r>
        <w:rPr>
          <w:rFonts w:ascii="仿宋" w:hAnsi="仿宋" w:eastAsia="仿宋"/>
          <w:sz w:val="30"/>
          <w:szCs w:val="30"/>
        </w:rPr>
        <w:t>%</w:t>
      </w:r>
      <w:r>
        <w:rPr>
          <w:rFonts w:hint="eastAsia" w:ascii="仿宋" w:hAnsi="仿宋" w:eastAsia="仿宋"/>
          <w:sz w:val="30"/>
          <w:szCs w:val="30"/>
        </w:rPr>
        <w:t>；其他收入</w:t>
      </w:r>
      <w:r>
        <w:rPr>
          <w:rFonts w:hint="eastAsia" w:ascii="仿宋" w:hAnsi="仿宋" w:eastAsia="仿宋"/>
          <w:sz w:val="30"/>
          <w:szCs w:val="30"/>
          <w:lang w:val="en-US" w:eastAsia="zh-CN"/>
        </w:rPr>
        <w:t>3391.21</w:t>
      </w:r>
      <w:r>
        <w:rPr>
          <w:rFonts w:hint="eastAsia" w:ascii="仿宋" w:hAnsi="仿宋" w:eastAsia="仿宋"/>
          <w:sz w:val="30"/>
          <w:szCs w:val="30"/>
        </w:rPr>
        <w:t>万元，占</w:t>
      </w:r>
      <w:r>
        <w:rPr>
          <w:rFonts w:hint="eastAsia" w:ascii="仿宋" w:hAnsi="仿宋" w:eastAsia="仿宋"/>
          <w:sz w:val="30"/>
          <w:szCs w:val="30"/>
          <w:lang w:val="en-US" w:eastAsia="zh-CN"/>
        </w:rPr>
        <w:t>5.19</w:t>
      </w:r>
      <w:r>
        <w:rPr>
          <w:rFonts w:ascii="仿宋" w:hAnsi="仿宋" w:eastAsia="仿宋"/>
          <w:sz w:val="30"/>
          <w:szCs w:val="30"/>
        </w:rPr>
        <w:t>%</w:t>
      </w:r>
      <w:r>
        <w:rPr>
          <w:rFonts w:hint="eastAsia" w:ascii="仿宋" w:hAnsi="仿宋" w:eastAsia="仿宋"/>
          <w:sz w:val="30"/>
          <w:szCs w:val="30"/>
        </w:rPr>
        <w:t>。</w:t>
      </w:r>
    </w:p>
    <w:p>
      <w:pPr>
        <w:spacing w:line="600" w:lineRule="exact"/>
        <w:ind w:firstLine="602" w:firstLineChars="200"/>
        <w:outlineLvl w:val="9"/>
        <w:rPr>
          <w:rFonts w:ascii="仿宋" w:hAnsi="仿宋" w:eastAsia="仿宋"/>
          <w:b/>
          <w:sz w:val="30"/>
          <w:szCs w:val="30"/>
        </w:rPr>
      </w:pPr>
      <w:r>
        <w:rPr>
          <w:rFonts w:hint="eastAsia" w:ascii="仿宋" w:hAnsi="仿宋" w:eastAsia="仿宋"/>
          <w:b/>
          <w:sz w:val="30"/>
          <w:szCs w:val="30"/>
        </w:rPr>
        <w:t>（注：数据来源于财决</w:t>
      </w:r>
      <w:r>
        <w:rPr>
          <w:rFonts w:ascii="仿宋" w:hAnsi="仿宋" w:eastAsia="仿宋"/>
          <w:b/>
          <w:sz w:val="30"/>
          <w:szCs w:val="30"/>
        </w:rPr>
        <w:t>01表</w:t>
      </w:r>
      <w:r>
        <w:rPr>
          <w:rFonts w:hint="eastAsia" w:ascii="仿宋" w:hAnsi="仿宋" w:eastAsia="仿宋"/>
          <w:b/>
          <w:sz w:val="30"/>
          <w:szCs w:val="30"/>
        </w:rPr>
        <w:t>，仅罗列本单位涉及的收入。</w:t>
      </w:r>
      <w:r>
        <w:rPr>
          <w:rFonts w:ascii="仿宋" w:hAnsi="仿宋" w:eastAsia="仿宋"/>
          <w:b/>
          <w:sz w:val="30"/>
          <w:szCs w:val="30"/>
        </w:rPr>
        <w:t>）</w:t>
      </w:r>
    </w:p>
    <w:p>
      <w:pPr>
        <w:spacing w:line="600" w:lineRule="exact"/>
        <w:jc w:val="center"/>
        <w:outlineLvl w:val="9"/>
        <w:rPr>
          <w:rFonts w:ascii="仿宋" w:hAnsi="仿宋" w:eastAsia="仿宋" w:cs="仿宋"/>
          <w:spacing w:val="8"/>
          <w:sz w:val="21"/>
          <w:szCs w:val="21"/>
        </w:rPr>
      </w:pPr>
      <w:r>
        <w:rPr>
          <w:rFonts w:hint="eastAsia" w:ascii="仿宋" w:hAnsi="仿宋" w:eastAsia="仿宋"/>
          <w:b/>
          <w:sz w:val="32"/>
          <w:szCs w:val="32"/>
          <w:lang w:eastAsia="zh-CN"/>
        </w:rPr>
        <w:drawing>
          <wp:anchor distT="0" distB="0" distL="114300" distR="114300" simplePos="0" relativeHeight="251660288" behindDoc="0" locked="0" layoutInCell="1" allowOverlap="1">
            <wp:simplePos x="0" y="0"/>
            <wp:positionH relativeFrom="column">
              <wp:posOffset>123825</wp:posOffset>
            </wp:positionH>
            <wp:positionV relativeFrom="page">
              <wp:posOffset>6680835</wp:posOffset>
            </wp:positionV>
            <wp:extent cx="5256530" cy="2654935"/>
            <wp:effectExtent l="4445" t="4445" r="15875" b="7620"/>
            <wp:wrapTopAndBottom/>
            <wp:docPr id="3"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rPr>
          <w:rFonts w:hint="eastAsia" w:ascii="仿宋" w:hAnsi="仿宋" w:eastAsia="仿宋" w:cs="仿宋"/>
          <w:spacing w:val="8"/>
          <w:sz w:val="21"/>
          <w:szCs w:val="21"/>
        </w:rPr>
        <w:t>（图2：收入决算结构图）（饼状图）</w:t>
      </w:r>
    </w:p>
    <w:p>
      <w:pPr>
        <w:pStyle w:val="23"/>
        <w:numPr>
          <w:ilvl w:val="0"/>
          <w:numId w:val="3"/>
        </w:numPr>
        <w:spacing w:line="600" w:lineRule="exact"/>
        <w:ind w:firstLineChars="0"/>
        <w:outlineLvl w:val="9"/>
        <w:rPr>
          <w:rStyle w:val="25"/>
          <w:rFonts w:ascii="黑体" w:hAnsi="黑体" w:eastAsia="黑体"/>
          <w:b w:val="0"/>
        </w:rPr>
      </w:pPr>
      <w:bookmarkStart w:id="31" w:name="_Toc15396605"/>
      <w:bookmarkStart w:id="32" w:name="_Toc15377207"/>
      <w:r>
        <w:rPr>
          <w:rFonts w:hint="eastAsia" w:ascii="黑体" w:hAnsi="黑体" w:eastAsia="黑体"/>
          <w:sz w:val="32"/>
          <w:szCs w:val="32"/>
        </w:rPr>
        <w:t>支</w:t>
      </w:r>
      <w:r>
        <w:rPr>
          <w:rStyle w:val="25"/>
          <w:rFonts w:hint="eastAsia" w:ascii="黑体" w:hAnsi="黑体" w:eastAsia="黑体"/>
          <w:b w:val="0"/>
        </w:rPr>
        <w:t>出决算情况说明</w:t>
      </w:r>
      <w:bookmarkEnd w:id="31"/>
      <w:bookmarkEnd w:id="32"/>
    </w:p>
    <w:p>
      <w:pPr>
        <w:spacing w:line="600" w:lineRule="exact"/>
        <w:ind w:firstLine="560" w:firstLineChars="200"/>
        <w:outlineLvl w:val="9"/>
        <w:rPr>
          <w:rFonts w:ascii="仿宋" w:hAnsi="仿宋" w:eastAsia="仿宋"/>
          <w:sz w:val="28"/>
          <w:szCs w:val="28"/>
        </w:rPr>
      </w:pPr>
      <w:r>
        <w:rPr>
          <w:rFonts w:ascii="仿宋" w:hAnsi="仿宋" w:eastAsia="仿宋"/>
          <w:sz w:val="28"/>
          <w:szCs w:val="28"/>
        </w:rPr>
        <w:t>20</w:t>
      </w:r>
      <w:r>
        <w:rPr>
          <w:rFonts w:hint="eastAsia" w:ascii="仿宋" w:hAnsi="仿宋" w:eastAsia="仿宋"/>
          <w:sz w:val="28"/>
          <w:szCs w:val="28"/>
        </w:rPr>
        <w:t>22年本年支出合计</w:t>
      </w:r>
      <w:r>
        <w:rPr>
          <w:rFonts w:hint="eastAsia" w:ascii="仿宋" w:hAnsi="仿宋" w:eastAsia="仿宋"/>
          <w:sz w:val="28"/>
          <w:szCs w:val="28"/>
          <w:lang w:val="en-US" w:eastAsia="zh-CN"/>
        </w:rPr>
        <w:t>62333.99</w:t>
      </w:r>
      <w:r>
        <w:rPr>
          <w:rFonts w:hint="eastAsia" w:ascii="仿宋" w:hAnsi="仿宋" w:eastAsia="仿宋"/>
          <w:sz w:val="28"/>
          <w:szCs w:val="28"/>
        </w:rPr>
        <w:t>万元，其中：基本支出</w:t>
      </w:r>
      <w:r>
        <w:rPr>
          <w:rFonts w:hint="eastAsia" w:ascii="仿宋" w:hAnsi="仿宋" w:eastAsia="仿宋"/>
          <w:sz w:val="28"/>
          <w:szCs w:val="28"/>
          <w:lang w:val="en-US" w:eastAsia="zh-CN"/>
        </w:rPr>
        <w:t>29772.20</w:t>
      </w:r>
      <w:r>
        <w:rPr>
          <w:rFonts w:hint="eastAsia" w:ascii="仿宋" w:hAnsi="仿宋" w:eastAsia="仿宋"/>
          <w:sz w:val="28"/>
          <w:szCs w:val="28"/>
        </w:rPr>
        <w:t>万元，占</w:t>
      </w:r>
      <w:r>
        <w:rPr>
          <w:rFonts w:hint="eastAsia" w:ascii="仿宋" w:hAnsi="仿宋" w:eastAsia="仿宋"/>
          <w:sz w:val="28"/>
          <w:szCs w:val="28"/>
          <w:lang w:val="en-US" w:eastAsia="zh-CN"/>
        </w:rPr>
        <w:t>47.76</w:t>
      </w:r>
      <w:r>
        <w:rPr>
          <w:rFonts w:ascii="仿宋" w:hAnsi="仿宋" w:eastAsia="仿宋"/>
          <w:sz w:val="28"/>
          <w:szCs w:val="28"/>
        </w:rPr>
        <w:t>%</w:t>
      </w:r>
      <w:r>
        <w:rPr>
          <w:rFonts w:hint="eastAsia" w:ascii="仿宋" w:hAnsi="仿宋" w:eastAsia="仿宋"/>
          <w:sz w:val="28"/>
          <w:szCs w:val="28"/>
        </w:rPr>
        <w:t>；项目支出</w:t>
      </w:r>
      <w:r>
        <w:rPr>
          <w:rFonts w:hint="eastAsia" w:ascii="仿宋" w:hAnsi="仿宋" w:eastAsia="仿宋"/>
          <w:sz w:val="28"/>
          <w:szCs w:val="28"/>
          <w:lang w:val="en-US" w:eastAsia="zh-CN"/>
        </w:rPr>
        <w:t>30205.21</w:t>
      </w:r>
      <w:r>
        <w:rPr>
          <w:rFonts w:hint="eastAsia" w:ascii="仿宋" w:hAnsi="仿宋" w:eastAsia="仿宋"/>
          <w:sz w:val="28"/>
          <w:szCs w:val="28"/>
        </w:rPr>
        <w:t>万元</w:t>
      </w:r>
      <w:r>
        <w:rPr>
          <w:rFonts w:hint="eastAsia" w:ascii="仿宋" w:hAnsi="仿宋" w:eastAsia="仿宋"/>
          <w:sz w:val="28"/>
          <w:szCs w:val="28"/>
          <w:lang w:eastAsia="zh-CN"/>
        </w:rPr>
        <w:t>，</w:t>
      </w:r>
      <w:r>
        <w:rPr>
          <w:rFonts w:hint="eastAsia" w:ascii="仿宋" w:hAnsi="仿宋" w:eastAsia="仿宋"/>
          <w:sz w:val="28"/>
          <w:szCs w:val="28"/>
        </w:rPr>
        <w:t>占</w:t>
      </w:r>
      <w:r>
        <w:rPr>
          <w:rFonts w:hint="eastAsia" w:ascii="仿宋" w:hAnsi="仿宋" w:eastAsia="仿宋"/>
          <w:sz w:val="28"/>
          <w:szCs w:val="28"/>
          <w:lang w:val="en-US" w:eastAsia="zh-CN"/>
        </w:rPr>
        <w:t>48.46</w:t>
      </w:r>
      <w:r>
        <w:rPr>
          <w:rFonts w:ascii="仿宋" w:hAnsi="仿宋" w:eastAsia="仿宋"/>
          <w:sz w:val="28"/>
          <w:szCs w:val="28"/>
        </w:rPr>
        <w:t>%</w:t>
      </w:r>
      <w:r>
        <w:rPr>
          <w:rFonts w:hint="eastAsia" w:ascii="仿宋" w:hAnsi="仿宋" w:eastAsia="仿宋"/>
          <w:sz w:val="28"/>
          <w:szCs w:val="28"/>
        </w:rPr>
        <w:t>；经营支出</w:t>
      </w:r>
      <w:r>
        <w:rPr>
          <w:rFonts w:hint="eastAsia" w:ascii="仿宋" w:hAnsi="仿宋" w:eastAsia="仿宋"/>
          <w:sz w:val="28"/>
          <w:szCs w:val="28"/>
          <w:lang w:val="en-US" w:eastAsia="zh-CN"/>
        </w:rPr>
        <w:t>2356.58</w:t>
      </w:r>
      <w:r>
        <w:rPr>
          <w:rFonts w:hint="eastAsia" w:ascii="仿宋" w:hAnsi="仿宋" w:eastAsia="仿宋"/>
          <w:sz w:val="28"/>
          <w:szCs w:val="28"/>
        </w:rPr>
        <w:t>万元，占</w:t>
      </w:r>
      <w:r>
        <w:rPr>
          <w:rFonts w:hint="eastAsia" w:ascii="仿宋" w:hAnsi="仿宋" w:eastAsia="仿宋"/>
          <w:sz w:val="28"/>
          <w:szCs w:val="28"/>
          <w:lang w:val="en-US" w:eastAsia="zh-CN"/>
        </w:rPr>
        <w:t>3.78</w:t>
      </w:r>
      <w:r>
        <w:rPr>
          <w:rFonts w:ascii="仿宋" w:hAnsi="仿宋" w:eastAsia="仿宋"/>
          <w:sz w:val="28"/>
          <w:szCs w:val="28"/>
        </w:rPr>
        <w:t>%</w:t>
      </w:r>
      <w:r>
        <w:rPr>
          <w:rFonts w:hint="eastAsia" w:ascii="仿宋" w:hAnsi="仿宋" w:eastAsia="仿宋"/>
          <w:sz w:val="28"/>
          <w:szCs w:val="28"/>
        </w:rPr>
        <w:t>。</w:t>
      </w:r>
    </w:p>
    <w:p>
      <w:pPr>
        <w:spacing w:line="600" w:lineRule="exact"/>
        <w:ind w:firstLine="562" w:firstLineChars="200"/>
        <w:outlineLvl w:val="9"/>
        <w:rPr>
          <w:rFonts w:ascii="仿宋" w:hAnsi="仿宋" w:eastAsia="仿宋"/>
          <w:b/>
          <w:sz w:val="28"/>
          <w:szCs w:val="28"/>
        </w:rPr>
      </w:pPr>
      <w:r>
        <w:rPr>
          <w:rFonts w:hint="eastAsia" w:ascii="仿宋" w:hAnsi="仿宋" w:eastAsia="仿宋"/>
          <w:b/>
          <w:sz w:val="28"/>
          <w:szCs w:val="28"/>
        </w:rPr>
        <w:t>（注：数据来源于财决</w:t>
      </w:r>
      <w:r>
        <w:rPr>
          <w:rFonts w:ascii="仿宋" w:hAnsi="仿宋" w:eastAsia="仿宋"/>
          <w:b/>
          <w:sz w:val="28"/>
          <w:szCs w:val="28"/>
        </w:rPr>
        <w:t>04</w:t>
      </w:r>
      <w:r>
        <w:rPr>
          <w:rFonts w:hint="eastAsia" w:ascii="仿宋" w:hAnsi="仿宋" w:eastAsia="仿宋"/>
          <w:b/>
          <w:sz w:val="28"/>
          <w:szCs w:val="28"/>
        </w:rPr>
        <w:t>表，仅罗列本单位涉及的支出。）</w:t>
      </w:r>
    </w:p>
    <w:p>
      <w:pPr>
        <w:spacing w:line="600" w:lineRule="exact"/>
        <w:ind w:firstLine="640" w:firstLineChars="200"/>
        <w:jc w:val="center"/>
        <w:outlineLvl w:val="9"/>
        <w:rPr>
          <w:rFonts w:hint="eastAsia" w:ascii="仿宋" w:hAnsi="仿宋" w:eastAsia="仿宋" w:cs="仿宋"/>
          <w:spacing w:val="8"/>
          <w:sz w:val="21"/>
          <w:szCs w:val="21"/>
        </w:rPr>
      </w:pPr>
      <w:r>
        <w:rPr>
          <w:rFonts w:hint="eastAsia" w:ascii="仿宋" w:hAnsi="仿宋" w:eastAsia="仿宋"/>
          <w:sz w:val="32"/>
          <w:szCs w:val="32"/>
          <w:lang w:eastAsia="zh-CN"/>
        </w:rPr>
        <w:drawing>
          <wp:anchor distT="0" distB="0" distL="114300" distR="114300" simplePos="0" relativeHeight="251661312" behindDoc="0" locked="0" layoutInCell="1" allowOverlap="1">
            <wp:simplePos x="0" y="0"/>
            <wp:positionH relativeFrom="column">
              <wp:posOffset>152400</wp:posOffset>
            </wp:positionH>
            <wp:positionV relativeFrom="paragraph">
              <wp:posOffset>147955</wp:posOffset>
            </wp:positionV>
            <wp:extent cx="5256530" cy="2836545"/>
            <wp:effectExtent l="4445" t="4445" r="15875" b="16510"/>
            <wp:wrapTopAndBottom/>
            <wp:docPr id="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Pr>
          <w:rFonts w:hint="eastAsia" w:ascii="仿宋" w:hAnsi="仿宋" w:eastAsia="仿宋" w:cs="仿宋"/>
          <w:spacing w:val="8"/>
          <w:sz w:val="21"/>
          <w:szCs w:val="21"/>
        </w:rPr>
        <w:t>（图3：支出决算结构图）（饼状图）</w:t>
      </w:r>
    </w:p>
    <w:p>
      <w:pPr>
        <w:spacing w:line="600" w:lineRule="exact"/>
        <w:ind w:firstLine="640" w:firstLineChars="200"/>
        <w:outlineLvl w:val="9"/>
        <w:rPr>
          <w:rFonts w:ascii="仿宋_GB2312" w:eastAsia="仿宋_GB2312"/>
          <w:sz w:val="32"/>
          <w:szCs w:val="32"/>
        </w:rPr>
      </w:pPr>
    </w:p>
    <w:p>
      <w:pPr>
        <w:spacing w:line="600" w:lineRule="exact"/>
        <w:ind w:firstLine="640" w:firstLineChars="200"/>
        <w:outlineLvl w:val="1"/>
        <w:rPr>
          <w:rStyle w:val="25"/>
          <w:rFonts w:ascii="黑体" w:hAnsi="黑体" w:eastAsia="黑体"/>
          <w:b w:val="0"/>
        </w:rPr>
      </w:pPr>
      <w:bookmarkStart w:id="33" w:name="_Toc6742"/>
      <w:bookmarkStart w:id="34" w:name="_Toc15377208"/>
      <w:bookmarkStart w:id="35" w:name="_Toc15396606"/>
      <w:r>
        <w:rPr>
          <w:rFonts w:hint="eastAsia" w:ascii="黑体" w:hAnsi="黑体" w:eastAsia="黑体"/>
          <w:sz w:val="32"/>
          <w:szCs w:val="32"/>
        </w:rPr>
        <w:t>四、财</w:t>
      </w:r>
      <w:r>
        <w:rPr>
          <w:rStyle w:val="25"/>
          <w:rFonts w:hint="eastAsia" w:ascii="黑体" w:hAnsi="黑体" w:eastAsia="黑体"/>
          <w:b w:val="0"/>
        </w:rPr>
        <w:t>政拨款收入支出决算总体情况说明</w:t>
      </w:r>
      <w:bookmarkEnd w:id="33"/>
      <w:bookmarkEnd w:id="34"/>
      <w:bookmarkEnd w:id="35"/>
    </w:p>
    <w:p>
      <w:pPr>
        <w:spacing w:before="224" w:line="357" w:lineRule="auto"/>
        <w:ind w:left="31" w:right="13" w:firstLine="638"/>
        <w:jc w:val="both"/>
        <w:rPr>
          <w:rFonts w:hint="eastAsia" w:ascii="仿宋" w:hAnsi="仿宋" w:eastAsia="仿宋" w:cs="仿宋"/>
          <w:spacing w:val="7"/>
          <w:sz w:val="30"/>
          <w:szCs w:val="30"/>
          <w:lang w:val="en-US" w:eastAsia="zh-CN"/>
        </w:rPr>
      </w:pPr>
      <w:r>
        <w:rPr>
          <w:rFonts w:ascii="仿宋" w:hAnsi="仿宋" w:eastAsia="仿宋" w:cs="仿宋"/>
          <w:spacing w:val="7"/>
          <w:sz w:val="30"/>
          <w:szCs w:val="30"/>
        </w:rPr>
        <w:t>202</w:t>
      </w:r>
      <w:r>
        <w:rPr>
          <w:rFonts w:hint="eastAsia" w:ascii="仿宋" w:hAnsi="仿宋" w:eastAsia="仿宋" w:cs="仿宋"/>
          <w:spacing w:val="7"/>
          <w:sz w:val="30"/>
          <w:szCs w:val="30"/>
          <w:lang w:val="en-US" w:eastAsia="zh-CN"/>
        </w:rPr>
        <w:t>2</w:t>
      </w:r>
      <w:r>
        <w:rPr>
          <w:rFonts w:ascii="仿宋" w:hAnsi="仿宋" w:eastAsia="仿宋" w:cs="仿宋"/>
          <w:spacing w:val="-45"/>
          <w:sz w:val="30"/>
          <w:szCs w:val="30"/>
        </w:rPr>
        <w:t xml:space="preserve"> </w:t>
      </w:r>
      <w:r>
        <w:rPr>
          <w:rFonts w:ascii="仿宋" w:hAnsi="仿宋" w:eastAsia="仿宋" w:cs="仿宋"/>
          <w:spacing w:val="7"/>
          <w:sz w:val="30"/>
          <w:szCs w:val="30"/>
        </w:rPr>
        <w:t>年财政拨款收入总计</w:t>
      </w:r>
      <w:r>
        <w:rPr>
          <w:rFonts w:ascii="仿宋" w:hAnsi="仿宋" w:eastAsia="仿宋" w:cs="仿宋"/>
          <w:spacing w:val="-53"/>
          <w:sz w:val="30"/>
          <w:szCs w:val="30"/>
        </w:rPr>
        <w:t xml:space="preserve"> </w:t>
      </w:r>
      <w:r>
        <w:rPr>
          <w:rFonts w:hint="eastAsia" w:ascii="仿宋" w:hAnsi="仿宋" w:eastAsia="仿宋" w:cs="仿宋"/>
          <w:spacing w:val="7"/>
          <w:sz w:val="30"/>
          <w:szCs w:val="30"/>
          <w:lang w:val="en-US" w:eastAsia="zh-CN"/>
        </w:rPr>
        <w:t>44411.43</w:t>
      </w:r>
      <w:r>
        <w:rPr>
          <w:rFonts w:ascii="仿宋" w:hAnsi="仿宋" w:eastAsia="仿宋" w:cs="仿宋"/>
          <w:spacing w:val="-49"/>
          <w:sz w:val="30"/>
          <w:szCs w:val="30"/>
        </w:rPr>
        <w:t xml:space="preserve"> </w:t>
      </w:r>
      <w:r>
        <w:rPr>
          <w:rFonts w:ascii="仿宋" w:hAnsi="仿宋" w:eastAsia="仿宋" w:cs="仿宋"/>
          <w:spacing w:val="7"/>
          <w:sz w:val="30"/>
          <w:szCs w:val="30"/>
        </w:rPr>
        <w:t>万元、</w:t>
      </w:r>
      <w:r>
        <w:rPr>
          <w:rFonts w:ascii="仿宋" w:hAnsi="仿宋" w:eastAsia="仿宋" w:cs="仿宋"/>
          <w:spacing w:val="6"/>
          <w:sz w:val="30"/>
          <w:szCs w:val="30"/>
        </w:rPr>
        <w:t>财政拨款支</w:t>
      </w:r>
      <w:r>
        <w:rPr>
          <w:rFonts w:ascii="仿宋" w:hAnsi="仿宋" w:eastAsia="仿宋" w:cs="仿宋"/>
          <w:spacing w:val="4"/>
          <w:sz w:val="30"/>
          <w:szCs w:val="30"/>
        </w:rPr>
        <w:t>出总计</w:t>
      </w:r>
      <w:r>
        <w:rPr>
          <w:rFonts w:ascii="仿宋" w:hAnsi="仿宋" w:eastAsia="仿宋" w:cs="仿宋"/>
          <w:spacing w:val="-51"/>
          <w:sz w:val="30"/>
          <w:szCs w:val="30"/>
        </w:rPr>
        <w:t xml:space="preserve"> </w:t>
      </w:r>
      <w:r>
        <w:rPr>
          <w:rFonts w:hint="eastAsia" w:ascii="仿宋" w:hAnsi="仿宋" w:eastAsia="仿宋" w:cs="仿宋"/>
          <w:spacing w:val="4"/>
          <w:sz w:val="30"/>
          <w:szCs w:val="30"/>
          <w:lang w:val="en-US" w:eastAsia="zh-CN"/>
        </w:rPr>
        <w:t>44411.43</w:t>
      </w:r>
      <w:r>
        <w:rPr>
          <w:rFonts w:ascii="仿宋" w:hAnsi="仿宋" w:eastAsia="仿宋" w:cs="仿宋"/>
          <w:spacing w:val="-51"/>
          <w:sz w:val="30"/>
          <w:szCs w:val="30"/>
        </w:rPr>
        <w:t xml:space="preserve"> </w:t>
      </w:r>
      <w:r>
        <w:rPr>
          <w:rFonts w:ascii="仿宋" w:hAnsi="仿宋" w:eastAsia="仿宋" w:cs="仿宋"/>
          <w:spacing w:val="4"/>
          <w:sz w:val="30"/>
          <w:szCs w:val="30"/>
        </w:rPr>
        <w:t>万元。与</w:t>
      </w:r>
      <w:r>
        <w:rPr>
          <w:rFonts w:ascii="仿宋" w:hAnsi="仿宋" w:eastAsia="仿宋" w:cs="仿宋"/>
          <w:spacing w:val="-58"/>
          <w:sz w:val="30"/>
          <w:szCs w:val="30"/>
        </w:rPr>
        <w:t xml:space="preserve"> </w:t>
      </w:r>
      <w:r>
        <w:rPr>
          <w:rFonts w:ascii="仿宋" w:hAnsi="仿宋" w:eastAsia="仿宋" w:cs="仿宋"/>
          <w:spacing w:val="4"/>
          <w:sz w:val="30"/>
          <w:szCs w:val="30"/>
        </w:rPr>
        <w:t>202</w:t>
      </w:r>
      <w:r>
        <w:rPr>
          <w:rFonts w:hint="eastAsia" w:ascii="仿宋" w:hAnsi="仿宋" w:eastAsia="仿宋" w:cs="仿宋"/>
          <w:spacing w:val="4"/>
          <w:sz w:val="30"/>
          <w:szCs w:val="30"/>
          <w:lang w:val="en-US" w:eastAsia="zh-CN"/>
        </w:rPr>
        <w:t>1</w:t>
      </w:r>
      <w:r>
        <w:rPr>
          <w:rFonts w:ascii="仿宋" w:hAnsi="仿宋" w:eastAsia="仿宋" w:cs="仿宋"/>
          <w:spacing w:val="-47"/>
          <w:sz w:val="30"/>
          <w:szCs w:val="30"/>
        </w:rPr>
        <w:t xml:space="preserve"> </w:t>
      </w:r>
      <w:r>
        <w:rPr>
          <w:rFonts w:ascii="仿宋" w:hAnsi="仿宋" w:eastAsia="仿宋" w:cs="仿宋"/>
          <w:spacing w:val="4"/>
          <w:sz w:val="30"/>
          <w:szCs w:val="30"/>
        </w:rPr>
        <w:t>年相比，财政拨款收入总计</w:t>
      </w:r>
      <w:r>
        <w:rPr>
          <w:rFonts w:hint="eastAsia" w:ascii="仿宋" w:hAnsi="仿宋" w:eastAsia="仿宋" w:cs="仿宋"/>
          <w:spacing w:val="12"/>
          <w:sz w:val="30"/>
          <w:szCs w:val="30"/>
          <w:lang w:val="en-US" w:eastAsia="zh-CN"/>
        </w:rPr>
        <w:t>减少</w:t>
      </w:r>
      <w:r>
        <w:rPr>
          <w:rFonts w:ascii="仿宋" w:hAnsi="仿宋" w:eastAsia="仿宋" w:cs="仿宋"/>
          <w:spacing w:val="-36"/>
          <w:sz w:val="30"/>
          <w:szCs w:val="30"/>
        </w:rPr>
        <w:t xml:space="preserve"> </w:t>
      </w:r>
      <w:r>
        <w:rPr>
          <w:rFonts w:hint="eastAsia" w:ascii="仿宋" w:hAnsi="仿宋" w:eastAsia="仿宋" w:cs="仿宋"/>
          <w:spacing w:val="12"/>
          <w:sz w:val="30"/>
          <w:szCs w:val="30"/>
          <w:lang w:val="en-US" w:eastAsia="zh-CN"/>
        </w:rPr>
        <w:t>5797.19</w:t>
      </w:r>
      <w:r>
        <w:rPr>
          <w:rFonts w:ascii="仿宋" w:hAnsi="仿宋" w:eastAsia="仿宋" w:cs="仿宋"/>
          <w:spacing w:val="-32"/>
          <w:sz w:val="30"/>
          <w:szCs w:val="30"/>
        </w:rPr>
        <w:t xml:space="preserve"> </w:t>
      </w:r>
      <w:r>
        <w:rPr>
          <w:rFonts w:ascii="仿宋" w:hAnsi="仿宋" w:eastAsia="仿宋" w:cs="仿宋"/>
          <w:spacing w:val="12"/>
          <w:sz w:val="30"/>
          <w:szCs w:val="30"/>
        </w:rPr>
        <w:t>万元</w:t>
      </w:r>
      <w:r>
        <w:rPr>
          <w:rFonts w:ascii="仿宋" w:hAnsi="仿宋" w:eastAsia="仿宋" w:cs="仿宋"/>
          <w:spacing w:val="-88"/>
          <w:sz w:val="30"/>
          <w:szCs w:val="30"/>
        </w:rPr>
        <w:t xml:space="preserve"> </w:t>
      </w:r>
      <w:r>
        <w:rPr>
          <w:rFonts w:ascii="仿宋" w:hAnsi="仿宋" w:eastAsia="仿宋" w:cs="仿宋"/>
          <w:spacing w:val="12"/>
          <w:sz w:val="30"/>
          <w:szCs w:val="30"/>
        </w:rPr>
        <w:t>、</w:t>
      </w:r>
      <w:r>
        <w:rPr>
          <w:rFonts w:hint="eastAsia" w:ascii="仿宋" w:hAnsi="仿宋" w:eastAsia="仿宋" w:cs="仿宋"/>
          <w:spacing w:val="12"/>
          <w:sz w:val="30"/>
          <w:szCs w:val="30"/>
          <w:lang w:val="en-US" w:eastAsia="zh-CN"/>
        </w:rPr>
        <w:t>减少</w:t>
      </w:r>
      <w:r>
        <w:rPr>
          <w:rFonts w:ascii="仿宋" w:hAnsi="仿宋" w:eastAsia="仿宋" w:cs="仿宋"/>
          <w:spacing w:val="-41"/>
          <w:sz w:val="30"/>
          <w:szCs w:val="30"/>
        </w:rPr>
        <w:t xml:space="preserve"> </w:t>
      </w:r>
      <w:r>
        <w:rPr>
          <w:rFonts w:hint="eastAsia" w:ascii="仿宋" w:hAnsi="仿宋" w:eastAsia="仿宋" w:cs="仿宋"/>
          <w:spacing w:val="12"/>
          <w:sz w:val="30"/>
          <w:szCs w:val="30"/>
          <w:lang w:val="en-US" w:eastAsia="zh-CN"/>
        </w:rPr>
        <w:t>11.55</w:t>
      </w:r>
      <w:r>
        <w:rPr>
          <w:rFonts w:ascii="仿宋" w:hAnsi="仿宋" w:eastAsia="仿宋" w:cs="仿宋"/>
          <w:spacing w:val="12"/>
          <w:sz w:val="30"/>
          <w:szCs w:val="30"/>
        </w:rPr>
        <w:t>%</w:t>
      </w:r>
      <w:r>
        <w:rPr>
          <w:rFonts w:ascii="仿宋" w:hAnsi="仿宋" w:eastAsia="仿宋" w:cs="仿宋"/>
          <w:spacing w:val="-91"/>
          <w:sz w:val="30"/>
          <w:szCs w:val="30"/>
        </w:rPr>
        <w:t xml:space="preserve"> </w:t>
      </w:r>
      <w:r>
        <w:rPr>
          <w:rFonts w:ascii="仿宋" w:hAnsi="仿宋" w:eastAsia="仿宋" w:cs="仿宋"/>
          <w:spacing w:val="1"/>
          <w:sz w:val="30"/>
          <w:szCs w:val="30"/>
        </w:rPr>
        <w:t>。</w:t>
      </w:r>
      <w:r>
        <w:rPr>
          <w:rFonts w:hint="eastAsia" w:ascii="仿宋" w:hAnsi="仿宋" w:eastAsia="仿宋" w:cs="仿宋"/>
          <w:spacing w:val="1"/>
          <w:sz w:val="30"/>
          <w:szCs w:val="30"/>
          <w:lang w:val="en-US" w:eastAsia="zh-CN"/>
        </w:rPr>
        <w:t>财政拨款支出44411.43万元，</w:t>
      </w:r>
      <w:r>
        <w:rPr>
          <w:rFonts w:ascii="仿宋" w:hAnsi="仿宋" w:eastAsia="仿宋" w:cs="仿宋"/>
          <w:spacing w:val="4"/>
          <w:sz w:val="30"/>
          <w:szCs w:val="30"/>
        </w:rPr>
        <w:t>与</w:t>
      </w:r>
      <w:r>
        <w:rPr>
          <w:rFonts w:ascii="仿宋" w:hAnsi="仿宋" w:eastAsia="仿宋" w:cs="仿宋"/>
          <w:spacing w:val="-58"/>
          <w:sz w:val="30"/>
          <w:szCs w:val="30"/>
        </w:rPr>
        <w:t xml:space="preserve"> </w:t>
      </w:r>
      <w:r>
        <w:rPr>
          <w:rFonts w:ascii="仿宋" w:hAnsi="仿宋" w:eastAsia="仿宋" w:cs="仿宋"/>
          <w:spacing w:val="4"/>
          <w:sz w:val="30"/>
          <w:szCs w:val="30"/>
        </w:rPr>
        <w:t>202</w:t>
      </w:r>
      <w:r>
        <w:rPr>
          <w:rFonts w:hint="eastAsia" w:ascii="仿宋" w:hAnsi="仿宋" w:eastAsia="仿宋" w:cs="仿宋"/>
          <w:spacing w:val="4"/>
          <w:sz w:val="30"/>
          <w:szCs w:val="30"/>
          <w:lang w:val="en-US" w:eastAsia="zh-CN"/>
        </w:rPr>
        <w:t>1</w:t>
      </w:r>
      <w:r>
        <w:rPr>
          <w:rFonts w:ascii="仿宋" w:hAnsi="仿宋" w:eastAsia="仿宋" w:cs="仿宋"/>
          <w:spacing w:val="-47"/>
          <w:sz w:val="30"/>
          <w:szCs w:val="30"/>
        </w:rPr>
        <w:t xml:space="preserve"> </w:t>
      </w:r>
      <w:r>
        <w:rPr>
          <w:rFonts w:ascii="仿宋" w:hAnsi="仿宋" w:eastAsia="仿宋" w:cs="仿宋"/>
          <w:spacing w:val="4"/>
          <w:sz w:val="30"/>
          <w:szCs w:val="30"/>
        </w:rPr>
        <w:t>年相比，财政拨款</w:t>
      </w:r>
      <w:r>
        <w:rPr>
          <w:rFonts w:hint="eastAsia" w:ascii="仿宋" w:hAnsi="仿宋" w:eastAsia="仿宋" w:cs="仿宋"/>
          <w:spacing w:val="4"/>
          <w:sz w:val="30"/>
          <w:szCs w:val="30"/>
          <w:lang w:val="en-US" w:eastAsia="zh-CN"/>
        </w:rPr>
        <w:t>支出</w:t>
      </w:r>
      <w:r>
        <w:rPr>
          <w:rFonts w:ascii="仿宋" w:hAnsi="仿宋" w:eastAsia="仿宋" w:cs="仿宋"/>
          <w:spacing w:val="4"/>
          <w:sz w:val="30"/>
          <w:szCs w:val="30"/>
        </w:rPr>
        <w:t>总计</w:t>
      </w:r>
      <w:r>
        <w:rPr>
          <w:rFonts w:hint="eastAsia" w:ascii="仿宋" w:hAnsi="仿宋" w:eastAsia="仿宋" w:cs="仿宋"/>
          <w:spacing w:val="12"/>
          <w:sz w:val="30"/>
          <w:szCs w:val="30"/>
          <w:lang w:val="en-US" w:eastAsia="zh-CN"/>
        </w:rPr>
        <w:t>减少</w:t>
      </w:r>
      <w:r>
        <w:rPr>
          <w:rFonts w:ascii="仿宋" w:hAnsi="仿宋" w:eastAsia="仿宋" w:cs="仿宋"/>
          <w:spacing w:val="-36"/>
          <w:sz w:val="30"/>
          <w:szCs w:val="30"/>
        </w:rPr>
        <w:t xml:space="preserve"> </w:t>
      </w:r>
      <w:r>
        <w:rPr>
          <w:rFonts w:hint="eastAsia" w:ascii="仿宋" w:hAnsi="仿宋" w:eastAsia="仿宋" w:cs="仿宋"/>
          <w:spacing w:val="12"/>
          <w:sz w:val="30"/>
          <w:szCs w:val="30"/>
          <w:lang w:val="en-US" w:eastAsia="zh-CN"/>
        </w:rPr>
        <w:t>5797.19</w:t>
      </w:r>
      <w:r>
        <w:rPr>
          <w:rFonts w:ascii="仿宋" w:hAnsi="仿宋" w:eastAsia="仿宋" w:cs="仿宋"/>
          <w:spacing w:val="-32"/>
          <w:sz w:val="30"/>
          <w:szCs w:val="30"/>
        </w:rPr>
        <w:t xml:space="preserve"> </w:t>
      </w:r>
      <w:r>
        <w:rPr>
          <w:rFonts w:ascii="仿宋" w:hAnsi="仿宋" w:eastAsia="仿宋" w:cs="仿宋"/>
          <w:spacing w:val="12"/>
          <w:sz w:val="30"/>
          <w:szCs w:val="30"/>
        </w:rPr>
        <w:t>万元</w:t>
      </w:r>
      <w:r>
        <w:rPr>
          <w:rFonts w:ascii="仿宋" w:hAnsi="仿宋" w:eastAsia="仿宋" w:cs="仿宋"/>
          <w:spacing w:val="-88"/>
          <w:sz w:val="30"/>
          <w:szCs w:val="30"/>
        </w:rPr>
        <w:t xml:space="preserve"> </w:t>
      </w:r>
      <w:r>
        <w:rPr>
          <w:rFonts w:ascii="仿宋" w:hAnsi="仿宋" w:eastAsia="仿宋" w:cs="仿宋"/>
          <w:spacing w:val="12"/>
          <w:sz w:val="30"/>
          <w:szCs w:val="30"/>
        </w:rPr>
        <w:t>、</w:t>
      </w:r>
      <w:r>
        <w:rPr>
          <w:rFonts w:hint="eastAsia" w:ascii="仿宋" w:hAnsi="仿宋" w:eastAsia="仿宋" w:cs="仿宋"/>
          <w:spacing w:val="12"/>
          <w:sz w:val="30"/>
          <w:szCs w:val="30"/>
          <w:lang w:val="en-US" w:eastAsia="zh-CN"/>
        </w:rPr>
        <w:t>减少</w:t>
      </w:r>
      <w:r>
        <w:rPr>
          <w:rFonts w:ascii="仿宋" w:hAnsi="仿宋" w:eastAsia="仿宋" w:cs="仿宋"/>
          <w:spacing w:val="-41"/>
          <w:sz w:val="30"/>
          <w:szCs w:val="30"/>
        </w:rPr>
        <w:t xml:space="preserve"> </w:t>
      </w:r>
      <w:r>
        <w:rPr>
          <w:rFonts w:hint="eastAsia" w:ascii="仿宋" w:hAnsi="仿宋" w:eastAsia="仿宋" w:cs="仿宋"/>
          <w:spacing w:val="12"/>
          <w:sz w:val="30"/>
          <w:szCs w:val="30"/>
          <w:lang w:val="en-US" w:eastAsia="zh-CN"/>
        </w:rPr>
        <w:t>11.55</w:t>
      </w:r>
      <w:r>
        <w:rPr>
          <w:rFonts w:ascii="仿宋" w:hAnsi="仿宋" w:eastAsia="仿宋" w:cs="仿宋"/>
          <w:spacing w:val="12"/>
          <w:sz w:val="30"/>
          <w:szCs w:val="30"/>
        </w:rPr>
        <w:t>%</w:t>
      </w:r>
      <w:r>
        <w:rPr>
          <w:rFonts w:ascii="仿宋" w:hAnsi="仿宋" w:eastAsia="仿宋" w:cs="仿宋"/>
          <w:spacing w:val="-91"/>
          <w:sz w:val="30"/>
          <w:szCs w:val="30"/>
        </w:rPr>
        <w:t xml:space="preserve"> </w:t>
      </w:r>
      <w:r>
        <w:rPr>
          <w:rFonts w:ascii="仿宋" w:hAnsi="仿宋" w:eastAsia="仿宋" w:cs="仿宋"/>
          <w:spacing w:val="1"/>
          <w:sz w:val="30"/>
          <w:szCs w:val="30"/>
        </w:rPr>
        <w:t>。主要变动原因是</w:t>
      </w:r>
      <w:r>
        <w:rPr>
          <w:rFonts w:hint="eastAsia" w:ascii="仿宋" w:hAnsi="仿宋" w:eastAsia="仿宋" w:cs="仿宋"/>
          <w:spacing w:val="7"/>
          <w:sz w:val="30"/>
          <w:szCs w:val="30"/>
          <w:lang w:val="en-US" w:eastAsia="zh-CN"/>
        </w:rPr>
        <w:t>高校共建与发展专项资金及教育现代化推进工程项目拨款的减少。</w:t>
      </w:r>
    </w:p>
    <w:p>
      <w:pPr>
        <w:spacing w:before="224" w:line="357" w:lineRule="auto"/>
        <w:ind w:left="31" w:right="13" w:firstLine="638"/>
        <w:jc w:val="both"/>
        <w:rPr>
          <w:rFonts w:ascii="仿宋" w:hAnsi="仿宋" w:eastAsia="仿宋"/>
          <w:b/>
          <w:sz w:val="30"/>
          <w:szCs w:val="30"/>
        </w:rPr>
      </w:pPr>
      <w:r>
        <w:rPr>
          <w:rFonts w:hint="eastAsia" w:ascii="仿宋" w:hAnsi="仿宋" w:eastAsia="仿宋"/>
          <w:b/>
          <w:sz w:val="30"/>
          <w:szCs w:val="30"/>
        </w:rPr>
        <w:t>（注：数据来源于财决</w:t>
      </w:r>
      <w:r>
        <w:rPr>
          <w:rFonts w:ascii="仿宋" w:hAnsi="仿宋" w:eastAsia="仿宋"/>
          <w:b/>
          <w:sz w:val="30"/>
          <w:szCs w:val="30"/>
        </w:rPr>
        <w:t>01-1</w:t>
      </w:r>
      <w:r>
        <w:rPr>
          <w:rFonts w:hint="eastAsia" w:ascii="仿宋" w:hAnsi="仿宋" w:eastAsia="仿宋"/>
          <w:b/>
          <w:sz w:val="30"/>
          <w:szCs w:val="30"/>
        </w:rPr>
        <w:t>表</w:t>
      </w:r>
      <w:r>
        <w:rPr>
          <w:rFonts w:ascii="仿宋" w:hAnsi="仿宋" w:eastAsia="仿宋"/>
          <w:b/>
          <w:sz w:val="30"/>
          <w:szCs w:val="30"/>
        </w:rPr>
        <w:t>）</w:t>
      </w:r>
    </w:p>
    <w:p>
      <w:pPr>
        <w:spacing w:line="600" w:lineRule="exact"/>
        <w:jc w:val="center"/>
        <w:outlineLvl w:val="1"/>
        <w:rPr>
          <w:rFonts w:hint="eastAsia" w:ascii="仿宋" w:hAnsi="仿宋" w:eastAsia="仿宋" w:cs="仿宋"/>
          <w:spacing w:val="8"/>
          <w:sz w:val="21"/>
          <w:szCs w:val="21"/>
          <w:lang w:val="en-US" w:eastAsia="zh-CN"/>
        </w:rPr>
      </w:pPr>
      <w:bookmarkStart w:id="36" w:name="_Toc15116"/>
      <w:r>
        <w:rPr>
          <w:rFonts w:hint="eastAsia" w:ascii="仿宋" w:hAnsi="仿宋" w:eastAsia="仿宋" w:cs="仿宋"/>
          <w:spacing w:val="8"/>
          <w:sz w:val="21"/>
          <w:szCs w:val="21"/>
          <w:lang w:eastAsia="zh-CN"/>
        </w:rPr>
        <w:drawing>
          <wp:anchor distT="0" distB="0" distL="114300" distR="114300" simplePos="0" relativeHeight="251662336" behindDoc="0" locked="0" layoutInCell="1" allowOverlap="1">
            <wp:simplePos x="0" y="0"/>
            <wp:positionH relativeFrom="column">
              <wp:posOffset>180340</wp:posOffset>
            </wp:positionH>
            <wp:positionV relativeFrom="paragraph">
              <wp:posOffset>52070</wp:posOffset>
            </wp:positionV>
            <wp:extent cx="4900295" cy="2787650"/>
            <wp:effectExtent l="4445" t="4445" r="10160" b="8255"/>
            <wp:wrapTopAndBottom/>
            <wp:docPr id="6"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Pr>
          <w:rFonts w:hint="eastAsia" w:ascii="仿宋" w:hAnsi="仿宋" w:eastAsia="仿宋" w:cs="仿宋"/>
          <w:spacing w:val="8"/>
          <w:sz w:val="21"/>
          <w:szCs w:val="21"/>
        </w:rPr>
        <w:t>（图4：财政拨款收、支决算总计变动情况）（柱状图）</w:t>
      </w:r>
      <w:r>
        <w:rPr>
          <w:rFonts w:hint="eastAsia" w:ascii="仿宋" w:hAnsi="仿宋" w:eastAsia="仿宋" w:cs="仿宋"/>
          <w:spacing w:val="8"/>
          <w:sz w:val="21"/>
          <w:szCs w:val="21"/>
          <w:lang w:val="en-US" w:eastAsia="zh-CN"/>
        </w:rPr>
        <w:t xml:space="preserve">  </w:t>
      </w:r>
      <w:r>
        <w:rPr>
          <w:rFonts w:ascii="仿宋" w:hAnsi="仿宋" w:eastAsia="仿宋" w:cs="仿宋"/>
          <w:spacing w:val="8"/>
          <w:sz w:val="21"/>
          <w:szCs w:val="21"/>
        </w:rPr>
        <w:t>单位：万元</w:t>
      </w:r>
      <w:bookmarkEnd w:id="36"/>
    </w:p>
    <w:p>
      <w:pPr>
        <w:spacing w:line="600" w:lineRule="exact"/>
        <w:ind w:firstLine="640" w:firstLineChars="200"/>
        <w:outlineLvl w:val="1"/>
        <w:rPr>
          <w:rStyle w:val="25"/>
          <w:rFonts w:ascii="黑体" w:hAnsi="黑体" w:eastAsia="黑体"/>
          <w:b w:val="0"/>
        </w:rPr>
      </w:pPr>
      <w:bookmarkStart w:id="37" w:name="_Toc15396607"/>
      <w:bookmarkStart w:id="38" w:name="_Toc11256"/>
      <w:bookmarkStart w:id="39" w:name="_Toc15377209"/>
      <w:r>
        <w:rPr>
          <w:rFonts w:hint="eastAsia" w:ascii="黑体" w:hAnsi="黑体" w:eastAsia="黑体"/>
          <w:sz w:val="32"/>
          <w:szCs w:val="32"/>
        </w:rPr>
        <w:t>五、</w:t>
      </w:r>
      <w:r>
        <w:rPr>
          <w:rFonts w:hint="eastAsia" w:ascii="黑体" w:hAnsi="黑体" w:eastAsia="黑体"/>
          <w:b/>
          <w:sz w:val="32"/>
          <w:szCs w:val="32"/>
        </w:rPr>
        <w:t>一</w:t>
      </w:r>
      <w:r>
        <w:rPr>
          <w:rStyle w:val="25"/>
          <w:rFonts w:hint="eastAsia" w:ascii="黑体" w:hAnsi="黑体" w:eastAsia="黑体"/>
          <w:b w:val="0"/>
        </w:rPr>
        <w:t>般公共预算财政拨款支出决算情况说明</w:t>
      </w:r>
      <w:bookmarkEnd w:id="37"/>
      <w:bookmarkEnd w:id="38"/>
      <w:bookmarkEnd w:id="39"/>
    </w:p>
    <w:p>
      <w:pPr>
        <w:spacing w:line="360" w:lineRule="auto"/>
        <w:ind w:firstLine="602" w:firstLineChars="200"/>
        <w:outlineLvl w:val="2"/>
        <w:rPr>
          <w:rFonts w:ascii="仿宋" w:hAnsi="仿宋" w:eastAsia="仿宋"/>
          <w:b/>
          <w:sz w:val="30"/>
          <w:szCs w:val="30"/>
        </w:rPr>
      </w:pPr>
      <w:bookmarkStart w:id="40" w:name="_Toc15377210"/>
      <w:r>
        <w:rPr>
          <w:rFonts w:hint="eastAsia" w:ascii="仿宋" w:hAnsi="仿宋" w:eastAsia="仿宋"/>
          <w:b/>
          <w:sz w:val="30"/>
          <w:szCs w:val="30"/>
        </w:rPr>
        <w:t>（一）一般公共预算财政拨款支出决算总体情况</w:t>
      </w:r>
      <w:bookmarkEnd w:id="40"/>
    </w:p>
    <w:p>
      <w:pPr>
        <w:spacing w:before="1" w:line="360" w:lineRule="auto"/>
        <w:ind w:left="35" w:firstLine="616" w:firstLineChars="200"/>
        <w:rPr>
          <w:rFonts w:ascii="仿宋" w:hAnsi="仿宋" w:eastAsia="仿宋" w:cs="仿宋"/>
          <w:sz w:val="30"/>
          <w:szCs w:val="30"/>
        </w:rPr>
      </w:pPr>
      <w:r>
        <w:rPr>
          <w:rFonts w:ascii="仿宋" w:hAnsi="仿宋" w:eastAsia="仿宋" w:cs="仿宋"/>
          <w:spacing w:val="4"/>
          <w:sz w:val="30"/>
          <w:szCs w:val="30"/>
        </w:rPr>
        <w:t>202</w:t>
      </w:r>
      <w:r>
        <w:rPr>
          <w:rFonts w:hint="eastAsia" w:ascii="仿宋" w:hAnsi="仿宋" w:eastAsia="仿宋" w:cs="仿宋"/>
          <w:spacing w:val="4"/>
          <w:sz w:val="30"/>
          <w:szCs w:val="30"/>
          <w:lang w:val="en-US" w:eastAsia="zh-CN"/>
        </w:rPr>
        <w:t>2</w:t>
      </w:r>
      <w:r>
        <w:rPr>
          <w:rFonts w:ascii="仿宋" w:hAnsi="仿宋" w:eastAsia="仿宋" w:cs="仿宋"/>
          <w:spacing w:val="-45"/>
          <w:sz w:val="30"/>
          <w:szCs w:val="30"/>
        </w:rPr>
        <w:t xml:space="preserve"> </w:t>
      </w:r>
      <w:r>
        <w:rPr>
          <w:rFonts w:ascii="仿宋" w:hAnsi="仿宋" w:eastAsia="仿宋" w:cs="仿宋"/>
          <w:spacing w:val="4"/>
          <w:sz w:val="30"/>
          <w:szCs w:val="30"/>
        </w:rPr>
        <w:t>年一般公共预算财政拨款支出</w:t>
      </w:r>
      <w:r>
        <w:rPr>
          <w:rFonts w:ascii="仿宋" w:hAnsi="仿宋" w:eastAsia="仿宋" w:cs="仿宋"/>
          <w:spacing w:val="-51"/>
          <w:sz w:val="30"/>
          <w:szCs w:val="30"/>
        </w:rPr>
        <w:t xml:space="preserve"> </w:t>
      </w:r>
      <w:r>
        <w:rPr>
          <w:rFonts w:hint="eastAsia" w:ascii="仿宋" w:hAnsi="仿宋" w:eastAsia="仿宋" w:cs="仿宋"/>
          <w:spacing w:val="4"/>
          <w:sz w:val="30"/>
          <w:szCs w:val="30"/>
          <w:lang w:val="en-US" w:eastAsia="zh-CN"/>
        </w:rPr>
        <w:t>44411.43</w:t>
      </w:r>
      <w:r>
        <w:rPr>
          <w:rFonts w:ascii="仿宋" w:hAnsi="仿宋" w:eastAsia="仿宋" w:cs="仿宋"/>
          <w:spacing w:val="-51"/>
          <w:sz w:val="30"/>
          <w:szCs w:val="30"/>
        </w:rPr>
        <w:t xml:space="preserve"> </w:t>
      </w:r>
      <w:r>
        <w:rPr>
          <w:rFonts w:ascii="仿宋" w:hAnsi="仿宋" w:eastAsia="仿宋" w:cs="仿宋"/>
          <w:spacing w:val="3"/>
          <w:sz w:val="30"/>
          <w:szCs w:val="30"/>
        </w:rPr>
        <w:t>万元，</w:t>
      </w:r>
      <w:r>
        <w:rPr>
          <w:rFonts w:ascii="仿宋" w:hAnsi="仿宋" w:eastAsia="仿宋" w:cs="仿宋"/>
          <w:spacing w:val="-67"/>
          <w:sz w:val="30"/>
          <w:szCs w:val="30"/>
        </w:rPr>
        <w:t xml:space="preserve"> </w:t>
      </w:r>
      <w:r>
        <w:rPr>
          <w:rFonts w:ascii="仿宋" w:hAnsi="仿宋" w:eastAsia="仿宋" w:cs="仿宋"/>
          <w:spacing w:val="3"/>
          <w:sz w:val="30"/>
          <w:szCs w:val="30"/>
        </w:rPr>
        <w:t>占</w:t>
      </w:r>
      <w:r>
        <w:rPr>
          <w:rFonts w:ascii="仿宋" w:hAnsi="仿宋" w:eastAsia="仿宋" w:cs="仿宋"/>
          <w:spacing w:val="7"/>
          <w:sz w:val="30"/>
          <w:szCs w:val="30"/>
        </w:rPr>
        <w:t>本年支出合计的</w:t>
      </w:r>
      <w:r>
        <w:rPr>
          <w:rFonts w:ascii="仿宋" w:hAnsi="仿宋" w:eastAsia="仿宋" w:cs="仿宋"/>
          <w:spacing w:val="-42"/>
          <w:sz w:val="30"/>
          <w:szCs w:val="30"/>
        </w:rPr>
        <w:t xml:space="preserve"> </w:t>
      </w:r>
      <w:r>
        <w:rPr>
          <w:rFonts w:hint="eastAsia" w:ascii="仿宋" w:hAnsi="仿宋" w:eastAsia="仿宋" w:cs="仿宋"/>
          <w:spacing w:val="7"/>
          <w:sz w:val="30"/>
          <w:szCs w:val="30"/>
          <w:lang w:val="en-US" w:eastAsia="zh-CN"/>
        </w:rPr>
        <w:t>71.15</w:t>
      </w:r>
      <w:r>
        <w:rPr>
          <w:rFonts w:ascii="仿宋" w:hAnsi="仿宋" w:eastAsia="仿宋" w:cs="仿宋"/>
          <w:spacing w:val="7"/>
          <w:sz w:val="30"/>
          <w:szCs w:val="30"/>
        </w:rPr>
        <w:t>%。与</w:t>
      </w:r>
      <w:r>
        <w:rPr>
          <w:rFonts w:ascii="仿宋" w:hAnsi="仿宋" w:eastAsia="仿宋" w:cs="仿宋"/>
          <w:spacing w:val="-56"/>
          <w:sz w:val="30"/>
          <w:szCs w:val="30"/>
        </w:rPr>
        <w:t xml:space="preserve"> </w:t>
      </w:r>
      <w:r>
        <w:rPr>
          <w:rFonts w:ascii="仿宋" w:hAnsi="仿宋" w:eastAsia="仿宋" w:cs="仿宋"/>
          <w:spacing w:val="7"/>
          <w:sz w:val="30"/>
          <w:szCs w:val="30"/>
        </w:rPr>
        <w:t>202</w:t>
      </w:r>
      <w:r>
        <w:rPr>
          <w:rFonts w:hint="eastAsia" w:ascii="仿宋" w:hAnsi="仿宋" w:eastAsia="仿宋" w:cs="仿宋"/>
          <w:spacing w:val="7"/>
          <w:sz w:val="30"/>
          <w:szCs w:val="30"/>
          <w:lang w:val="en-US" w:eastAsia="zh-CN"/>
        </w:rPr>
        <w:t>1</w:t>
      </w:r>
      <w:r>
        <w:rPr>
          <w:rFonts w:ascii="仿宋" w:hAnsi="仿宋" w:eastAsia="仿宋" w:cs="仿宋"/>
          <w:spacing w:val="-45"/>
          <w:sz w:val="30"/>
          <w:szCs w:val="30"/>
        </w:rPr>
        <w:t xml:space="preserve"> </w:t>
      </w:r>
      <w:r>
        <w:rPr>
          <w:rFonts w:ascii="仿宋" w:hAnsi="仿宋" w:eastAsia="仿宋" w:cs="仿宋"/>
          <w:spacing w:val="7"/>
          <w:sz w:val="30"/>
          <w:szCs w:val="30"/>
        </w:rPr>
        <w:t>年相比，一般公共预算财政拨款支出</w:t>
      </w:r>
      <w:r>
        <w:rPr>
          <w:rFonts w:hint="eastAsia" w:ascii="仿宋" w:hAnsi="仿宋" w:eastAsia="仿宋" w:cs="仿宋"/>
          <w:spacing w:val="7"/>
          <w:sz w:val="30"/>
          <w:szCs w:val="30"/>
          <w:lang w:val="en-US" w:eastAsia="zh-CN"/>
        </w:rPr>
        <w:t>减少</w:t>
      </w:r>
      <w:r>
        <w:rPr>
          <w:rFonts w:ascii="仿宋" w:hAnsi="仿宋" w:eastAsia="仿宋" w:cs="仿宋"/>
          <w:spacing w:val="-43"/>
          <w:sz w:val="30"/>
          <w:szCs w:val="30"/>
        </w:rPr>
        <w:t xml:space="preserve"> </w:t>
      </w:r>
      <w:r>
        <w:rPr>
          <w:rFonts w:hint="eastAsia" w:ascii="仿宋" w:hAnsi="仿宋" w:eastAsia="仿宋" w:cs="仿宋"/>
          <w:spacing w:val="7"/>
          <w:sz w:val="30"/>
          <w:szCs w:val="30"/>
          <w:lang w:val="en-US" w:eastAsia="zh-CN"/>
        </w:rPr>
        <w:t>5797.19</w:t>
      </w:r>
      <w:r>
        <w:rPr>
          <w:rFonts w:ascii="仿宋" w:hAnsi="仿宋" w:eastAsia="仿宋" w:cs="仿宋"/>
          <w:spacing w:val="-48"/>
          <w:sz w:val="30"/>
          <w:szCs w:val="30"/>
        </w:rPr>
        <w:t xml:space="preserve"> </w:t>
      </w:r>
      <w:r>
        <w:rPr>
          <w:rFonts w:ascii="仿宋" w:hAnsi="仿宋" w:eastAsia="仿宋" w:cs="仿宋"/>
          <w:spacing w:val="7"/>
          <w:sz w:val="30"/>
          <w:szCs w:val="30"/>
        </w:rPr>
        <w:t>万元，</w:t>
      </w:r>
      <w:r>
        <w:rPr>
          <w:rFonts w:hint="eastAsia" w:ascii="仿宋" w:hAnsi="仿宋" w:eastAsia="仿宋" w:cs="仿宋"/>
          <w:spacing w:val="7"/>
          <w:sz w:val="30"/>
          <w:szCs w:val="30"/>
          <w:lang w:val="en-US" w:eastAsia="zh-CN"/>
        </w:rPr>
        <w:t>减少</w:t>
      </w:r>
      <w:r>
        <w:rPr>
          <w:rFonts w:ascii="仿宋" w:hAnsi="仿宋" w:eastAsia="仿宋" w:cs="仿宋"/>
          <w:spacing w:val="-59"/>
          <w:sz w:val="30"/>
          <w:szCs w:val="30"/>
        </w:rPr>
        <w:t xml:space="preserve"> </w:t>
      </w:r>
      <w:r>
        <w:rPr>
          <w:rFonts w:hint="eastAsia" w:ascii="仿宋" w:hAnsi="仿宋" w:eastAsia="仿宋" w:cs="仿宋"/>
          <w:spacing w:val="7"/>
          <w:sz w:val="30"/>
          <w:szCs w:val="30"/>
          <w:lang w:val="en-US" w:eastAsia="zh-CN"/>
        </w:rPr>
        <w:t>11.55</w:t>
      </w:r>
      <w:r>
        <w:rPr>
          <w:rFonts w:ascii="仿宋" w:hAnsi="仿宋" w:eastAsia="仿宋" w:cs="仿宋"/>
          <w:spacing w:val="7"/>
          <w:sz w:val="30"/>
          <w:szCs w:val="30"/>
        </w:rPr>
        <w:t>%。主要变动原因是</w:t>
      </w:r>
      <w:r>
        <w:rPr>
          <w:rFonts w:hint="eastAsia" w:ascii="仿宋" w:hAnsi="仿宋" w:eastAsia="仿宋" w:cs="仿宋"/>
          <w:spacing w:val="7"/>
          <w:sz w:val="30"/>
          <w:szCs w:val="30"/>
          <w:lang w:val="en-US" w:eastAsia="zh-CN"/>
        </w:rPr>
        <w:t>高校共建与发展专项资金及教育现代化推进工程项目拨款的减少。</w:t>
      </w:r>
    </w:p>
    <w:p>
      <w:pPr>
        <w:spacing w:line="600" w:lineRule="exact"/>
        <w:jc w:val="center"/>
        <w:outlineLvl w:val="1"/>
        <w:rPr>
          <w:rFonts w:hint="eastAsia" w:ascii="仿宋" w:hAnsi="仿宋" w:eastAsia="仿宋" w:cs="仿宋"/>
          <w:b/>
          <w:bCs/>
          <w:spacing w:val="8"/>
          <w:sz w:val="21"/>
          <w:szCs w:val="21"/>
        </w:rPr>
      </w:pPr>
      <w:bookmarkStart w:id="41" w:name="_Toc22845"/>
      <w:r>
        <w:rPr>
          <w:rFonts w:hint="eastAsia" w:ascii="仿宋" w:hAnsi="仿宋" w:eastAsia="仿宋" w:cs="仿宋"/>
          <w:spacing w:val="8"/>
          <w:sz w:val="21"/>
          <w:szCs w:val="21"/>
          <w:lang w:eastAsia="zh-CN"/>
        </w:rPr>
        <w:drawing>
          <wp:anchor distT="0" distB="0" distL="114300" distR="114300" simplePos="0" relativeHeight="251663360" behindDoc="0" locked="0" layoutInCell="1" allowOverlap="1">
            <wp:simplePos x="0" y="0"/>
            <wp:positionH relativeFrom="column">
              <wp:posOffset>99695</wp:posOffset>
            </wp:positionH>
            <wp:positionV relativeFrom="paragraph">
              <wp:posOffset>61595</wp:posOffset>
            </wp:positionV>
            <wp:extent cx="5117465" cy="2944495"/>
            <wp:effectExtent l="4445" t="4445" r="21590" b="22860"/>
            <wp:wrapTopAndBottom/>
            <wp:docPr id="7" name="图表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Pr>
          <w:rFonts w:hint="eastAsia" w:ascii="仿宋" w:hAnsi="仿宋" w:eastAsia="仿宋" w:cs="仿宋"/>
          <w:spacing w:val="8"/>
          <w:sz w:val="21"/>
          <w:szCs w:val="21"/>
        </w:rPr>
        <w:t>（图5：一般公共预算财政拨款支出决算变动情况）（柱状图）</w:t>
      </w:r>
      <w:r>
        <w:rPr>
          <w:rFonts w:hint="eastAsia" w:ascii="仿宋" w:hAnsi="仿宋" w:eastAsia="仿宋" w:cs="仿宋"/>
          <w:spacing w:val="8"/>
          <w:sz w:val="21"/>
          <w:szCs w:val="21"/>
          <w:lang w:val="en-US" w:eastAsia="zh-CN"/>
        </w:rPr>
        <w:t xml:space="preserve">  </w:t>
      </w:r>
      <w:r>
        <w:rPr>
          <w:rFonts w:ascii="仿宋" w:hAnsi="仿宋" w:eastAsia="仿宋" w:cs="仿宋"/>
          <w:spacing w:val="8"/>
          <w:sz w:val="21"/>
          <w:szCs w:val="21"/>
        </w:rPr>
        <w:t>单位：万元</w:t>
      </w:r>
      <w:bookmarkEnd w:id="41"/>
    </w:p>
    <w:p>
      <w:pPr>
        <w:spacing w:line="600" w:lineRule="exact"/>
        <w:ind w:firstLine="602" w:firstLineChars="200"/>
        <w:outlineLvl w:val="2"/>
        <w:rPr>
          <w:rFonts w:ascii="仿宋" w:hAnsi="仿宋" w:eastAsia="仿宋"/>
          <w:b/>
          <w:sz w:val="30"/>
          <w:szCs w:val="30"/>
        </w:rPr>
      </w:pPr>
      <w:bookmarkStart w:id="42" w:name="_Toc15377211"/>
      <w:r>
        <w:rPr>
          <w:rFonts w:hint="eastAsia" w:ascii="仿宋" w:hAnsi="仿宋" w:eastAsia="仿宋"/>
          <w:b/>
          <w:sz w:val="30"/>
          <w:szCs w:val="30"/>
        </w:rPr>
        <w:t>（二）一般公共预算财政拨款支出决算结构情况</w:t>
      </w:r>
      <w:bookmarkEnd w:id="42"/>
    </w:p>
    <w:p>
      <w:pPr>
        <w:spacing w:line="600" w:lineRule="exact"/>
        <w:ind w:firstLine="640"/>
        <w:rPr>
          <w:rFonts w:ascii="仿宋" w:hAnsi="仿宋" w:eastAsia="仿宋"/>
          <w:b/>
          <w:sz w:val="30"/>
          <w:szCs w:val="30"/>
        </w:rPr>
      </w:pPr>
      <w:r>
        <w:rPr>
          <w:rFonts w:ascii="仿宋" w:hAnsi="仿宋" w:eastAsia="仿宋"/>
          <w:sz w:val="30"/>
          <w:szCs w:val="30"/>
        </w:rPr>
        <w:t>20</w:t>
      </w:r>
      <w:r>
        <w:rPr>
          <w:rFonts w:hint="eastAsia" w:ascii="仿宋" w:hAnsi="仿宋" w:eastAsia="仿宋"/>
          <w:sz w:val="30"/>
          <w:szCs w:val="30"/>
        </w:rPr>
        <w:t>22年一般公共预算财政拨款支出</w:t>
      </w:r>
      <w:r>
        <w:rPr>
          <w:rFonts w:hint="eastAsia" w:ascii="仿宋" w:hAnsi="仿宋" w:eastAsia="仿宋"/>
          <w:sz w:val="30"/>
          <w:szCs w:val="30"/>
          <w:lang w:val="en-US" w:eastAsia="zh-CN"/>
        </w:rPr>
        <w:t>44411.43</w:t>
      </w:r>
      <w:r>
        <w:rPr>
          <w:rFonts w:hint="eastAsia" w:ascii="仿宋" w:hAnsi="仿宋" w:eastAsia="仿宋"/>
          <w:sz w:val="30"/>
          <w:szCs w:val="30"/>
        </w:rPr>
        <w:t>万元，主要用于以下方面</w:t>
      </w:r>
      <w:r>
        <w:rPr>
          <w:rFonts w:ascii="仿宋" w:hAnsi="仿宋" w:eastAsia="仿宋"/>
          <w:sz w:val="30"/>
          <w:szCs w:val="30"/>
        </w:rPr>
        <w:t>:</w:t>
      </w:r>
      <w:r>
        <w:rPr>
          <w:rFonts w:hint="eastAsia" w:ascii="仿宋" w:hAnsi="仿宋" w:eastAsia="仿宋"/>
          <w:b/>
          <w:sz w:val="30"/>
          <w:szCs w:val="30"/>
        </w:rPr>
        <w:t>一般公共服务</w:t>
      </w:r>
      <w:r>
        <w:rPr>
          <w:rFonts w:hint="eastAsia" w:ascii="仿宋" w:hAnsi="仿宋" w:eastAsia="仿宋"/>
          <w:b/>
          <w:bCs/>
          <w:sz w:val="30"/>
          <w:szCs w:val="30"/>
        </w:rPr>
        <w:t>支出</w:t>
      </w:r>
      <w:r>
        <w:rPr>
          <w:rFonts w:hint="eastAsia" w:ascii="仿宋" w:hAnsi="仿宋" w:eastAsia="仿宋"/>
          <w:sz w:val="30"/>
          <w:szCs w:val="30"/>
          <w:lang w:val="en-US" w:eastAsia="zh-CN"/>
        </w:rPr>
        <w:t>0.38</w:t>
      </w:r>
      <w:r>
        <w:rPr>
          <w:rFonts w:hint="eastAsia" w:ascii="仿宋" w:hAnsi="仿宋" w:eastAsia="仿宋"/>
          <w:sz w:val="30"/>
          <w:szCs w:val="30"/>
        </w:rPr>
        <w:t>万元；</w:t>
      </w:r>
      <w:r>
        <w:rPr>
          <w:rFonts w:hint="eastAsia" w:ascii="仿宋" w:hAnsi="仿宋" w:eastAsia="仿宋"/>
          <w:b/>
          <w:sz w:val="30"/>
          <w:szCs w:val="30"/>
        </w:rPr>
        <w:t>教育支出</w:t>
      </w:r>
      <w:r>
        <w:rPr>
          <w:rFonts w:hint="eastAsia" w:ascii="仿宋" w:hAnsi="仿宋" w:eastAsia="仿宋"/>
          <w:sz w:val="30"/>
          <w:szCs w:val="30"/>
          <w:lang w:val="en-US" w:eastAsia="zh-CN"/>
        </w:rPr>
        <w:t>43839.77</w:t>
      </w:r>
      <w:r>
        <w:rPr>
          <w:rFonts w:hint="eastAsia" w:ascii="仿宋" w:hAnsi="仿宋" w:eastAsia="仿宋"/>
          <w:sz w:val="30"/>
          <w:szCs w:val="30"/>
        </w:rPr>
        <w:t>万元，占</w:t>
      </w:r>
      <w:r>
        <w:rPr>
          <w:rFonts w:hint="eastAsia" w:ascii="仿宋" w:hAnsi="仿宋" w:eastAsia="仿宋"/>
          <w:sz w:val="30"/>
          <w:szCs w:val="30"/>
          <w:lang w:val="en-US" w:eastAsia="zh-CN"/>
        </w:rPr>
        <w:t>98.71</w:t>
      </w:r>
      <w:r>
        <w:rPr>
          <w:rFonts w:ascii="仿宋" w:hAnsi="仿宋" w:eastAsia="仿宋"/>
          <w:sz w:val="30"/>
          <w:szCs w:val="30"/>
        </w:rPr>
        <w:t>%</w:t>
      </w:r>
      <w:r>
        <w:rPr>
          <w:rFonts w:hint="eastAsia" w:ascii="仿宋" w:hAnsi="仿宋" w:eastAsia="仿宋"/>
          <w:sz w:val="30"/>
          <w:szCs w:val="30"/>
        </w:rPr>
        <w:t>；</w:t>
      </w:r>
      <w:r>
        <w:rPr>
          <w:rFonts w:hint="eastAsia" w:ascii="仿宋" w:hAnsi="仿宋" w:eastAsia="仿宋"/>
          <w:b/>
          <w:sz w:val="30"/>
          <w:szCs w:val="30"/>
        </w:rPr>
        <w:t>科学技术</w:t>
      </w:r>
      <w:r>
        <w:rPr>
          <w:rFonts w:hint="eastAsia" w:ascii="仿宋" w:hAnsi="仿宋" w:eastAsia="仿宋"/>
          <w:b/>
          <w:bCs/>
          <w:sz w:val="30"/>
          <w:szCs w:val="30"/>
        </w:rPr>
        <w:t>支出</w:t>
      </w:r>
      <w:r>
        <w:rPr>
          <w:rFonts w:hint="eastAsia" w:ascii="仿宋" w:hAnsi="仿宋" w:eastAsia="仿宋"/>
          <w:sz w:val="30"/>
          <w:szCs w:val="30"/>
          <w:lang w:val="en-US" w:eastAsia="zh-CN"/>
        </w:rPr>
        <w:t>92.93</w:t>
      </w:r>
      <w:r>
        <w:rPr>
          <w:rFonts w:hint="eastAsia" w:ascii="仿宋" w:hAnsi="仿宋" w:eastAsia="仿宋"/>
          <w:sz w:val="30"/>
          <w:szCs w:val="30"/>
        </w:rPr>
        <w:t>万元，占</w:t>
      </w:r>
      <w:r>
        <w:rPr>
          <w:rFonts w:hint="eastAsia" w:ascii="仿宋" w:hAnsi="仿宋" w:eastAsia="仿宋"/>
          <w:sz w:val="30"/>
          <w:szCs w:val="30"/>
          <w:lang w:val="en-US" w:eastAsia="zh-CN"/>
        </w:rPr>
        <w:t>0.21</w:t>
      </w:r>
      <w:r>
        <w:rPr>
          <w:rFonts w:ascii="仿宋" w:hAnsi="仿宋" w:eastAsia="仿宋"/>
          <w:sz w:val="30"/>
          <w:szCs w:val="30"/>
        </w:rPr>
        <w:t>%</w:t>
      </w:r>
      <w:r>
        <w:rPr>
          <w:rFonts w:hint="eastAsia" w:ascii="仿宋" w:hAnsi="仿宋" w:eastAsia="仿宋"/>
          <w:sz w:val="30"/>
          <w:szCs w:val="30"/>
        </w:rPr>
        <w:t>；</w:t>
      </w:r>
      <w:r>
        <w:rPr>
          <w:rFonts w:hint="eastAsia" w:ascii="仿宋" w:hAnsi="仿宋" w:eastAsia="仿宋"/>
          <w:b/>
          <w:sz w:val="30"/>
          <w:szCs w:val="30"/>
        </w:rPr>
        <w:t>社会保障和就业</w:t>
      </w:r>
      <w:r>
        <w:rPr>
          <w:rFonts w:hint="eastAsia" w:ascii="仿宋" w:hAnsi="仿宋" w:eastAsia="仿宋"/>
          <w:b/>
          <w:bCs/>
          <w:sz w:val="30"/>
          <w:szCs w:val="30"/>
        </w:rPr>
        <w:t>支出</w:t>
      </w:r>
      <w:r>
        <w:rPr>
          <w:rFonts w:hint="eastAsia" w:ascii="仿宋" w:hAnsi="仿宋" w:eastAsia="仿宋"/>
          <w:sz w:val="30"/>
          <w:szCs w:val="30"/>
          <w:lang w:val="en-US" w:eastAsia="zh-CN"/>
        </w:rPr>
        <w:t>6.94</w:t>
      </w:r>
      <w:r>
        <w:rPr>
          <w:rFonts w:hint="eastAsia" w:ascii="仿宋" w:hAnsi="仿宋" w:eastAsia="仿宋"/>
          <w:sz w:val="30"/>
          <w:szCs w:val="30"/>
        </w:rPr>
        <w:t>万元，占</w:t>
      </w:r>
      <w:r>
        <w:rPr>
          <w:rFonts w:hint="eastAsia" w:ascii="仿宋" w:hAnsi="仿宋" w:eastAsia="仿宋"/>
          <w:sz w:val="30"/>
          <w:szCs w:val="30"/>
          <w:lang w:val="en-US" w:eastAsia="zh-CN"/>
        </w:rPr>
        <w:t>0.02</w:t>
      </w:r>
      <w:r>
        <w:rPr>
          <w:rFonts w:ascii="仿宋" w:hAnsi="仿宋" w:eastAsia="仿宋"/>
          <w:sz w:val="30"/>
          <w:szCs w:val="30"/>
        </w:rPr>
        <w:t>%</w:t>
      </w:r>
      <w:r>
        <w:rPr>
          <w:rFonts w:hint="eastAsia" w:ascii="仿宋" w:hAnsi="仿宋" w:eastAsia="仿宋"/>
          <w:sz w:val="30"/>
          <w:szCs w:val="30"/>
        </w:rPr>
        <w:t>；</w:t>
      </w:r>
      <w:r>
        <w:rPr>
          <w:rFonts w:hint="eastAsia" w:ascii="仿宋" w:hAnsi="仿宋" w:eastAsia="仿宋"/>
          <w:b/>
          <w:bCs/>
          <w:sz w:val="30"/>
          <w:szCs w:val="30"/>
          <w:lang w:val="en-US" w:eastAsia="zh-CN"/>
        </w:rPr>
        <w:t>债务付息</w:t>
      </w:r>
      <w:r>
        <w:rPr>
          <w:rFonts w:hint="eastAsia" w:ascii="仿宋" w:hAnsi="仿宋" w:eastAsia="仿宋"/>
          <w:b/>
          <w:bCs/>
          <w:sz w:val="30"/>
          <w:szCs w:val="30"/>
        </w:rPr>
        <w:t>支出</w:t>
      </w:r>
      <w:r>
        <w:rPr>
          <w:rFonts w:hint="eastAsia" w:ascii="仿宋" w:hAnsi="仿宋" w:eastAsia="仿宋"/>
          <w:sz w:val="30"/>
          <w:szCs w:val="30"/>
          <w:lang w:val="en-US" w:eastAsia="zh-CN"/>
        </w:rPr>
        <w:t>471.40</w:t>
      </w:r>
      <w:r>
        <w:rPr>
          <w:rFonts w:hint="eastAsia" w:ascii="仿宋" w:hAnsi="仿宋" w:eastAsia="仿宋"/>
          <w:sz w:val="30"/>
          <w:szCs w:val="30"/>
        </w:rPr>
        <w:t>万元，占</w:t>
      </w:r>
      <w:r>
        <w:rPr>
          <w:rFonts w:hint="eastAsia" w:ascii="仿宋" w:hAnsi="仿宋" w:eastAsia="仿宋"/>
          <w:sz w:val="30"/>
          <w:szCs w:val="30"/>
          <w:lang w:val="en-US" w:eastAsia="zh-CN"/>
        </w:rPr>
        <w:t>1.06</w:t>
      </w:r>
      <w:r>
        <w:rPr>
          <w:rFonts w:ascii="仿宋" w:hAnsi="仿宋" w:eastAsia="仿宋"/>
          <w:sz w:val="30"/>
          <w:szCs w:val="30"/>
        </w:rPr>
        <w:t>%</w:t>
      </w:r>
      <w:r>
        <w:rPr>
          <w:rFonts w:hint="eastAsia" w:ascii="仿宋" w:hAnsi="仿宋" w:eastAsia="仿宋"/>
          <w:sz w:val="30"/>
          <w:szCs w:val="30"/>
        </w:rPr>
        <w:t>。</w:t>
      </w:r>
    </w:p>
    <w:p>
      <w:pPr>
        <w:spacing w:line="600" w:lineRule="exact"/>
        <w:ind w:firstLine="640"/>
        <w:rPr>
          <w:rFonts w:ascii="仿宋" w:hAnsi="仿宋" w:eastAsia="仿宋"/>
          <w:sz w:val="30"/>
          <w:szCs w:val="30"/>
        </w:rPr>
      </w:pPr>
      <w:r>
        <w:rPr>
          <w:rFonts w:hint="eastAsia" w:ascii="仿宋" w:hAnsi="仿宋" w:eastAsia="仿宋"/>
          <w:b/>
          <w:sz w:val="30"/>
          <w:szCs w:val="30"/>
        </w:rPr>
        <w:t>（注：数据来源于财决01-1表，仅罗列本单位涉及的全部功能分类科目，至类级。）</w:t>
      </w:r>
    </w:p>
    <w:p>
      <w:pPr>
        <w:spacing w:line="600" w:lineRule="exact"/>
        <w:jc w:val="center"/>
        <w:outlineLvl w:val="9"/>
        <w:rPr>
          <w:rFonts w:hint="eastAsia" w:ascii="仿宋" w:hAnsi="仿宋" w:eastAsia="仿宋" w:cs="仿宋"/>
          <w:spacing w:val="8"/>
          <w:sz w:val="21"/>
          <w:szCs w:val="21"/>
        </w:rPr>
      </w:pPr>
      <w:r>
        <w:rPr>
          <w:rFonts w:hint="eastAsia" w:ascii="仿宋" w:hAnsi="仿宋" w:eastAsia="仿宋" w:cs="仿宋"/>
          <w:spacing w:val="8"/>
          <w:sz w:val="21"/>
          <w:szCs w:val="21"/>
          <w:lang w:eastAsia="zh-CN"/>
        </w:rPr>
        <w:drawing>
          <wp:anchor distT="0" distB="0" distL="114300" distR="114300" simplePos="0" relativeHeight="251664384" behindDoc="0" locked="0" layoutInCell="1" allowOverlap="1">
            <wp:simplePos x="0" y="0"/>
            <wp:positionH relativeFrom="column">
              <wp:posOffset>20955</wp:posOffset>
            </wp:positionH>
            <wp:positionV relativeFrom="paragraph">
              <wp:posOffset>147320</wp:posOffset>
            </wp:positionV>
            <wp:extent cx="5256530" cy="2988310"/>
            <wp:effectExtent l="5080" t="4445" r="15240" b="17145"/>
            <wp:wrapSquare wrapText="bothSides"/>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r>
        <w:rPr>
          <w:rFonts w:hint="eastAsia" w:ascii="仿宋" w:hAnsi="仿宋" w:eastAsia="仿宋" w:cs="仿宋"/>
          <w:spacing w:val="8"/>
          <w:sz w:val="21"/>
          <w:szCs w:val="21"/>
        </w:rPr>
        <w:t>（图6：一般公共预算财政拨款支出决算结构）（饼状图）</w:t>
      </w:r>
    </w:p>
    <w:p>
      <w:pPr>
        <w:spacing w:line="360" w:lineRule="auto"/>
        <w:ind w:firstLine="602" w:firstLineChars="200"/>
        <w:outlineLvl w:val="2"/>
        <w:rPr>
          <w:rFonts w:ascii="仿宋" w:hAnsi="仿宋" w:eastAsia="仿宋"/>
          <w:b/>
          <w:sz w:val="30"/>
          <w:szCs w:val="30"/>
        </w:rPr>
      </w:pPr>
      <w:bookmarkStart w:id="43" w:name="_Toc15377212"/>
      <w:r>
        <w:rPr>
          <w:rFonts w:hint="eastAsia" w:ascii="仿宋" w:hAnsi="仿宋" w:eastAsia="仿宋"/>
          <w:b/>
          <w:sz w:val="30"/>
          <w:szCs w:val="30"/>
        </w:rPr>
        <w:t>（三）一般公共预算财政拨款支出决算具体情况</w:t>
      </w:r>
      <w:bookmarkEnd w:id="43"/>
    </w:p>
    <w:p>
      <w:pPr>
        <w:spacing w:line="360" w:lineRule="auto"/>
        <w:ind w:firstLine="602" w:firstLineChars="200"/>
        <w:outlineLvl w:val="9"/>
        <w:rPr>
          <w:rFonts w:ascii="仿宋" w:hAnsi="仿宋" w:eastAsia="仿宋"/>
          <w:sz w:val="30"/>
          <w:szCs w:val="30"/>
        </w:rPr>
      </w:pPr>
      <w:bookmarkStart w:id="44" w:name="_Toc15377213"/>
      <w:bookmarkStart w:id="45" w:name="_Toc15378460"/>
      <w:bookmarkStart w:id="46" w:name="_Toc15377444"/>
      <w:r>
        <w:rPr>
          <w:rFonts w:hint="eastAsia" w:ascii="仿宋" w:hAnsi="仿宋" w:eastAsia="仿宋"/>
          <w:b/>
          <w:sz w:val="30"/>
          <w:szCs w:val="30"/>
        </w:rPr>
        <w:t>2022年一般公共预算支出决算数为</w:t>
      </w:r>
      <w:r>
        <w:rPr>
          <w:rFonts w:hint="eastAsia" w:ascii="仿宋" w:hAnsi="仿宋" w:eastAsia="仿宋"/>
          <w:b/>
          <w:sz w:val="30"/>
          <w:szCs w:val="30"/>
          <w:lang w:val="en-US" w:eastAsia="zh-CN"/>
        </w:rPr>
        <w:t>44411.43万元</w:t>
      </w:r>
      <w:r>
        <w:rPr>
          <w:rFonts w:hint="eastAsia" w:ascii="仿宋" w:hAnsi="仿宋" w:eastAsia="仿宋"/>
          <w:sz w:val="30"/>
          <w:szCs w:val="30"/>
        </w:rPr>
        <w:t>，</w:t>
      </w:r>
      <w:r>
        <w:rPr>
          <w:rStyle w:val="14"/>
          <w:rFonts w:hint="eastAsia" w:ascii="仿宋" w:hAnsi="仿宋" w:eastAsia="仿宋"/>
          <w:bCs/>
          <w:sz w:val="30"/>
          <w:szCs w:val="30"/>
        </w:rPr>
        <w:t>完成预算</w:t>
      </w:r>
      <w:r>
        <w:rPr>
          <w:rStyle w:val="14"/>
          <w:rFonts w:hint="eastAsia" w:ascii="仿宋" w:hAnsi="仿宋" w:eastAsia="仿宋"/>
          <w:bCs/>
          <w:sz w:val="30"/>
          <w:szCs w:val="30"/>
          <w:lang w:val="en-US" w:eastAsia="zh-CN"/>
        </w:rPr>
        <w:t>100</w:t>
      </w:r>
      <w:r>
        <w:rPr>
          <w:rStyle w:val="14"/>
          <w:rFonts w:ascii="仿宋" w:hAnsi="仿宋" w:eastAsia="仿宋"/>
          <w:bCs/>
          <w:sz w:val="30"/>
          <w:szCs w:val="30"/>
        </w:rPr>
        <w:t>%</w:t>
      </w:r>
      <w:r>
        <w:rPr>
          <w:rStyle w:val="14"/>
          <w:rFonts w:hint="eastAsia" w:ascii="仿宋" w:hAnsi="仿宋" w:eastAsia="仿宋"/>
          <w:bCs/>
          <w:sz w:val="30"/>
          <w:szCs w:val="30"/>
        </w:rPr>
        <w:t>。其中：</w:t>
      </w:r>
      <w:bookmarkEnd w:id="44"/>
      <w:bookmarkEnd w:id="45"/>
      <w:bookmarkEnd w:id="46"/>
    </w:p>
    <w:p>
      <w:pPr>
        <w:spacing w:line="360" w:lineRule="auto"/>
        <w:ind w:firstLine="602" w:firstLineChars="200"/>
        <w:rPr>
          <w:rFonts w:ascii="仿宋" w:hAnsi="仿宋" w:eastAsia="仿宋"/>
          <w:b/>
          <w:sz w:val="30"/>
          <w:szCs w:val="30"/>
        </w:rPr>
      </w:pPr>
      <w:r>
        <w:rPr>
          <w:rStyle w:val="14"/>
          <w:rFonts w:ascii="仿宋" w:hAnsi="仿宋" w:eastAsia="仿宋"/>
          <w:bCs/>
          <w:sz w:val="30"/>
          <w:szCs w:val="30"/>
        </w:rPr>
        <w:t>1.</w:t>
      </w:r>
      <w:r>
        <w:rPr>
          <w:rStyle w:val="14"/>
          <w:rFonts w:hint="eastAsia" w:ascii="仿宋" w:hAnsi="仿宋" w:eastAsia="仿宋"/>
          <w:bCs/>
          <w:sz w:val="30"/>
          <w:szCs w:val="30"/>
        </w:rPr>
        <w:t>一般公共服务（类）</w:t>
      </w:r>
      <w:r>
        <w:rPr>
          <w:rStyle w:val="14"/>
          <w:rFonts w:hint="eastAsia" w:ascii="仿宋" w:hAnsi="仿宋" w:eastAsia="仿宋"/>
          <w:bCs/>
          <w:sz w:val="30"/>
          <w:szCs w:val="30"/>
          <w:lang w:val="en-US" w:eastAsia="zh-CN"/>
        </w:rPr>
        <w:t>其他一般公共服务支出</w:t>
      </w:r>
      <w:r>
        <w:rPr>
          <w:rStyle w:val="14"/>
          <w:rFonts w:hint="eastAsia" w:ascii="仿宋" w:hAnsi="仿宋" w:eastAsia="仿宋"/>
          <w:bCs/>
          <w:sz w:val="30"/>
          <w:szCs w:val="30"/>
        </w:rPr>
        <w:t>（款）</w:t>
      </w:r>
      <w:r>
        <w:rPr>
          <w:rStyle w:val="14"/>
          <w:rFonts w:hint="eastAsia" w:ascii="仿宋" w:hAnsi="仿宋" w:eastAsia="仿宋"/>
          <w:bCs/>
          <w:sz w:val="30"/>
          <w:szCs w:val="30"/>
          <w:lang w:val="en-US" w:eastAsia="zh-CN"/>
        </w:rPr>
        <w:t>其他一般公共服务支出</w:t>
      </w:r>
      <w:r>
        <w:rPr>
          <w:rStyle w:val="14"/>
          <w:rFonts w:hint="eastAsia" w:ascii="仿宋" w:hAnsi="仿宋" w:eastAsia="仿宋"/>
          <w:bCs/>
          <w:sz w:val="30"/>
          <w:szCs w:val="30"/>
        </w:rPr>
        <w:t>（项）</w:t>
      </w:r>
      <w:r>
        <w:rPr>
          <w:rStyle w:val="14"/>
          <w:rFonts w:ascii="仿宋" w:hAnsi="仿宋" w:eastAsia="仿宋"/>
          <w:bCs/>
          <w:sz w:val="30"/>
          <w:szCs w:val="30"/>
        </w:rPr>
        <w:t>:</w:t>
      </w:r>
      <w:r>
        <w:rPr>
          <w:rStyle w:val="14"/>
          <w:rFonts w:ascii="仿宋" w:hAnsi="仿宋" w:eastAsia="仿宋"/>
          <w:b w:val="0"/>
          <w:bCs/>
          <w:sz w:val="30"/>
          <w:szCs w:val="30"/>
        </w:rPr>
        <w:t xml:space="preserve"> </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0.38</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p>
    <w:p>
      <w:pPr>
        <w:spacing w:line="360" w:lineRule="auto"/>
        <w:ind w:firstLine="602" w:firstLineChars="200"/>
        <w:rPr>
          <w:rFonts w:ascii="仿宋" w:hAnsi="仿宋" w:eastAsia="仿宋"/>
          <w:b/>
          <w:sz w:val="30"/>
          <w:szCs w:val="30"/>
        </w:rPr>
      </w:pPr>
      <w:r>
        <w:rPr>
          <w:rStyle w:val="14"/>
          <w:rFonts w:ascii="仿宋" w:hAnsi="仿宋" w:eastAsia="仿宋"/>
          <w:bCs/>
          <w:sz w:val="30"/>
          <w:szCs w:val="30"/>
        </w:rPr>
        <w:t>2.</w:t>
      </w:r>
      <w:r>
        <w:rPr>
          <w:rStyle w:val="14"/>
          <w:rFonts w:hint="eastAsia" w:ascii="仿宋" w:hAnsi="仿宋" w:eastAsia="仿宋"/>
          <w:bCs/>
          <w:sz w:val="30"/>
          <w:szCs w:val="30"/>
        </w:rPr>
        <w:t>教育（类）</w:t>
      </w:r>
      <w:r>
        <w:rPr>
          <w:rStyle w:val="14"/>
          <w:rFonts w:hint="eastAsia" w:ascii="仿宋" w:hAnsi="仿宋" w:eastAsia="仿宋"/>
          <w:bCs/>
          <w:sz w:val="30"/>
          <w:szCs w:val="30"/>
          <w:lang w:val="en-US" w:eastAsia="zh-CN"/>
        </w:rPr>
        <w:t>普通教育</w:t>
      </w:r>
      <w:r>
        <w:rPr>
          <w:rStyle w:val="14"/>
          <w:rFonts w:hint="eastAsia" w:ascii="仿宋" w:hAnsi="仿宋" w:eastAsia="仿宋"/>
          <w:bCs/>
          <w:sz w:val="30"/>
          <w:szCs w:val="30"/>
        </w:rPr>
        <w:t>（款）</w:t>
      </w:r>
      <w:r>
        <w:rPr>
          <w:rStyle w:val="14"/>
          <w:rFonts w:hint="eastAsia" w:ascii="仿宋" w:hAnsi="仿宋" w:eastAsia="仿宋"/>
          <w:bCs/>
          <w:sz w:val="30"/>
          <w:szCs w:val="30"/>
          <w:lang w:val="en-US" w:eastAsia="zh-CN"/>
        </w:rPr>
        <w:t>高等教育</w:t>
      </w:r>
      <w:r>
        <w:rPr>
          <w:rStyle w:val="14"/>
          <w:rFonts w:hint="eastAsia" w:ascii="仿宋" w:hAnsi="仿宋" w:eastAsia="仿宋"/>
          <w:bCs/>
          <w:sz w:val="30"/>
          <w:szCs w:val="30"/>
        </w:rPr>
        <w:t>（项）</w:t>
      </w:r>
      <w:r>
        <w:rPr>
          <w:rStyle w:val="14"/>
          <w:rFonts w:ascii="仿宋" w:hAnsi="仿宋" w:eastAsia="仿宋"/>
          <w:bCs/>
          <w:sz w:val="30"/>
          <w:szCs w:val="30"/>
        </w:rPr>
        <w:t>:</w:t>
      </w:r>
      <w:r>
        <w:rPr>
          <w:rStyle w:val="14"/>
          <w:rFonts w:ascii="仿宋" w:hAnsi="仿宋" w:eastAsia="仿宋"/>
          <w:b w:val="0"/>
          <w:bCs/>
          <w:sz w:val="30"/>
          <w:szCs w:val="30"/>
        </w:rPr>
        <w:t xml:space="preserve"> </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43839.77</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p>
    <w:p>
      <w:pPr>
        <w:spacing w:line="360" w:lineRule="auto"/>
        <w:ind w:firstLine="602" w:firstLineChars="200"/>
        <w:rPr>
          <w:rFonts w:ascii="仿宋" w:hAnsi="仿宋" w:eastAsia="仿宋"/>
          <w:b/>
          <w:sz w:val="30"/>
          <w:szCs w:val="30"/>
        </w:rPr>
      </w:pPr>
      <w:r>
        <w:rPr>
          <w:rStyle w:val="14"/>
          <w:rFonts w:ascii="仿宋" w:hAnsi="仿宋" w:eastAsia="仿宋"/>
          <w:bCs/>
          <w:sz w:val="30"/>
          <w:szCs w:val="30"/>
        </w:rPr>
        <w:t>3.</w:t>
      </w:r>
      <w:r>
        <w:rPr>
          <w:rStyle w:val="14"/>
          <w:rFonts w:hint="eastAsia" w:ascii="仿宋" w:hAnsi="仿宋" w:eastAsia="仿宋"/>
          <w:bCs/>
          <w:sz w:val="30"/>
          <w:szCs w:val="30"/>
        </w:rPr>
        <w:t>科学技术（类）</w:t>
      </w:r>
      <w:r>
        <w:rPr>
          <w:rStyle w:val="14"/>
          <w:rFonts w:hint="eastAsia" w:ascii="仿宋" w:hAnsi="仿宋" w:eastAsia="仿宋"/>
          <w:bCs/>
          <w:sz w:val="30"/>
          <w:szCs w:val="30"/>
          <w:lang w:val="en-US" w:eastAsia="zh-CN"/>
        </w:rPr>
        <w:t>基础研究</w:t>
      </w:r>
      <w:r>
        <w:rPr>
          <w:rStyle w:val="14"/>
          <w:rFonts w:hint="eastAsia" w:ascii="仿宋" w:hAnsi="仿宋" w:eastAsia="仿宋"/>
          <w:bCs/>
          <w:sz w:val="30"/>
          <w:szCs w:val="30"/>
        </w:rPr>
        <w:t>（款）</w:t>
      </w:r>
      <w:r>
        <w:rPr>
          <w:rStyle w:val="14"/>
          <w:rFonts w:hint="eastAsia" w:ascii="仿宋" w:hAnsi="仿宋" w:eastAsia="仿宋"/>
          <w:bCs/>
          <w:sz w:val="30"/>
          <w:szCs w:val="30"/>
          <w:lang w:val="en-US" w:eastAsia="zh-CN"/>
        </w:rPr>
        <w:t>专项基础研究</w:t>
      </w:r>
      <w:r>
        <w:rPr>
          <w:rStyle w:val="14"/>
          <w:rFonts w:hint="eastAsia" w:ascii="仿宋" w:hAnsi="仿宋" w:eastAsia="仿宋"/>
          <w:bCs/>
          <w:sz w:val="30"/>
          <w:szCs w:val="30"/>
        </w:rPr>
        <w:t>（项）</w:t>
      </w:r>
      <w:r>
        <w:rPr>
          <w:rStyle w:val="14"/>
          <w:rFonts w:ascii="仿宋" w:hAnsi="仿宋" w:eastAsia="仿宋"/>
          <w:bCs/>
          <w:sz w:val="30"/>
          <w:szCs w:val="30"/>
        </w:rPr>
        <w:t>:</w:t>
      </w:r>
      <w:r>
        <w:rPr>
          <w:rStyle w:val="14"/>
          <w:rFonts w:ascii="仿宋" w:hAnsi="仿宋" w:eastAsia="仿宋"/>
          <w:b w:val="0"/>
          <w:bCs/>
          <w:sz w:val="30"/>
          <w:szCs w:val="30"/>
        </w:rPr>
        <w:t xml:space="preserve"> </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17.60</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r>
        <w:rPr>
          <w:rStyle w:val="14"/>
          <w:rFonts w:hint="eastAsia" w:ascii="仿宋" w:hAnsi="仿宋" w:eastAsia="仿宋"/>
          <w:bCs/>
          <w:sz w:val="30"/>
          <w:szCs w:val="30"/>
        </w:rPr>
        <w:t>科学技术（类）</w:t>
      </w:r>
      <w:r>
        <w:rPr>
          <w:rStyle w:val="14"/>
          <w:rFonts w:hint="eastAsia" w:ascii="仿宋" w:hAnsi="仿宋" w:eastAsia="仿宋"/>
          <w:bCs/>
          <w:sz w:val="30"/>
          <w:szCs w:val="30"/>
          <w:lang w:val="en-US" w:eastAsia="zh-CN"/>
        </w:rPr>
        <w:t>应用研究</w:t>
      </w:r>
      <w:r>
        <w:rPr>
          <w:rStyle w:val="14"/>
          <w:rFonts w:hint="eastAsia" w:ascii="仿宋" w:hAnsi="仿宋" w:eastAsia="仿宋"/>
          <w:bCs/>
          <w:sz w:val="30"/>
          <w:szCs w:val="30"/>
        </w:rPr>
        <w:t>（款）</w:t>
      </w:r>
      <w:r>
        <w:rPr>
          <w:rStyle w:val="14"/>
          <w:rFonts w:hint="eastAsia" w:ascii="仿宋" w:hAnsi="仿宋" w:eastAsia="仿宋"/>
          <w:bCs/>
          <w:sz w:val="30"/>
          <w:szCs w:val="30"/>
          <w:lang w:val="en-US" w:eastAsia="zh-CN"/>
        </w:rPr>
        <w:t>社会公益研究</w:t>
      </w:r>
      <w:r>
        <w:rPr>
          <w:rStyle w:val="14"/>
          <w:rFonts w:hint="eastAsia" w:ascii="仿宋" w:hAnsi="仿宋" w:eastAsia="仿宋"/>
          <w:bCs/>
          <w:sz w:val="30"/>
          <w:szCs w:val="30"/>
        </w:rPr>
        <w:t>（项）</w:t>
      </w:r>
      <w:r>
        <w:rPr>
          <w:rStyle w:val="14"/>
          <w:rFonts w:ascii="仿宋" w:hAnsi="仿宋" w:eastAsia="仿宋"/>
          <w:bCs/>
          <w:sz w:val="30"/>
          <w:szCs w:val="30"/>
        </w:rPr>
        <w:t>:</w:t>
      </w:r>
      <w:r>
        <w:rPr>
          <w:rStyle w:val="14"/>
          <w:rFonts w:ascii="仿宋" w:hAnsi="仿宋" w:eastAsia="仿宋"/>
          <w:b w:val="0"/>
          <w:bCs/>
          <w:sz w:val="30"/>
          <w:szCs w:val="30"/>
        </w:rPr>
        <w:t xml:space="preserve"> </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8.27</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r>
        <w:rPr>
          <w:rStyle w:val="14"/>
          <w:rFonts w:hint="eastAsia" w:ascii="仿宋" w:hAnsi="仿宋" w:eastAsia="仿宋"/>
          <w:bCs/>
          <w:sz w:val="30"/>
          <w:szCs w:val="30"/>
        </w:rPr>
        <w:t>科学技术（类）</w:t>
      </w:r>
      <w:r>
        <w:rPr>
          <w:rStyle w:val="14"/>
          <w:rFonts w:hint="eastAsia" w:ascii="仿宋" w:hAnsi="仿宋" w:eastAsia="仿宋"/>
          <w:bCs/>
          <w:sz w:val="30"/>
          <w:szCs w:val="30"/>
          <w:lang w:val="en-US" w:eastAsia="zh-CN"/>
        </w:rPr>
        <w:t>技术研究与开发</w:t>
      </w:r>
      <w:r>
        <w:rPr>
          <w:rStyle w:val="14"/>
          <w:rFonts w:hint="eastAsia" w:ascii="仿宋" w:hAnsi="仿宋" w:eastAsia="仿宋"/>
          <w:bCs/>
          <w:sz w:val="30"/>
          <w:szCs w:val="30"/>
        </w:rPr>
        <w:t>（款）</w:t>
      </w:r>
      <w:r>
        <w:rPr>
          <w:rStyle w:val="14"/>
          <w:rFonts w:hint="eastAsia" w:ascii="仿宋" w:hAnsi="仿宋" w:eastAsia="仿宋"/>
          <w:bCs/>
          <w:sz w:val="30"/>
          <w:szCs w:val="30"/>
          <w:lang w:val="en-US" w:eastAsia="zh-CN"/>
        </w:rPr>
        <w:t>科研成果转化与扩散</w:t>
      </w:r>
      <w:r>
        <w:rPr>
          <w:rStyle w:val="14"/>
          <w:rFonts w:hint="eastAsia" w:ascii="仿宋" w:hAnsi="仿宋" w:eastAsia="仿宋"/>
          <w:bCs/>
          <w:sz w:val="30"/>
          <w:szCs w:val="30"/>
        </w:rPr>
        <w:t>（项）</w:t>
      </w:r>
      <w:r>
        <w:rPr>
          <w:rStyle w:val="14"/>
          <w:rFonts w:ascii="仿宋" w:hAnsi="仿宋" w:eastAsia="仿宋"/>
          <w:bCs/>
          <w:sz w:val="30"/>
          <w:szCs w:val="30"/>
        </w:rPr>
        <w:t>:</w:t>
      </w:r>
      <w:r>
        <w:rPr>
          <w:rStyle w:val="14"/>
          <w:rFonts w:ascii="仿宋" w:hAnsi="仿宋" w:eastAsia="仿宋"/>
          <w:b w:val="0"/>
          <w:bCs/>
          <w:sz w:val="30"/>
          <w:szCs w:val="30"/>
        </w:rPr>
        <w:t xml:space="preserve"> </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0.29</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r>
        <w:rPr>
          <w:rStyle w:val="14"/>
          <w:rFonts w:hint="eastAsia" w:ascii="仿宋" w:hAnsi="仿宋" w:eastAsia="仿宋"/>
          <w:bCs/>
          <w:sz w:val="30"/>
          <w:szCs w:val="30"/>
        </w:rPr>
        <w:t>科学技术（类）</w:t>
      </w:r>
      <w:r>
        <w:rPr>
          <w:rStyle w:val="14"/>
          <w:rFonts w:hint="eastAsia" w:ascii="仿宋" w:hAnsi="仿宋" w:eastAsia="仿宋"/>
          <w:bCs/>
          <w:sz w:val="30"/>
          <w:szCs w:val="30"/>
          <w:lang w:val="en-US" w:eastAsia="zh-CN"/>
        </w:rPr>
        <w:t>科技重大项目</w:t>
      </w:r>
      <w:r>
        <w:rPr>
          <w:rStyle w:val="14"/>
          <w:rFonts w:hint="eastAsia" w:ascii="仿宋" w:hAnsi="仿宋" w:eastAsia="仿宋"/>
          <w:bCs/>
          <w:sz w:val="30"/>
          <w:szCs w:val="30"/>
        </w:rPr>
        <w:t>（款）</w:t>
      </w:r>
      <w:r>
        <w:rPr>
          <w:rStyle w:val="14"/>
          <w:rFonts w:hint="eastAsia" w:ascii="仿宋" w:hAnsi="仿宋" w:eastAsia="仿宋"/>
          <w:bCs/>
          <w:sz w:val="30"/>
          <w:szCs w:val="30"/>
          <w:lang w:val="en-US" w:eastAsia="zh-CN"/>
        </w:rPr>
        <w:t>重点研发计划</w:t>
      </w:r>
      <w:r>
        <w:rPr>
          <w:rStyle w:val="14"/>
          <w:rFonts w:hint="eastAsia" w:ascii="仿宋" w:hAnsi="仿宋" w:eastAsia="仿宋"/>
          <w:bCs/>
          <w:sz w:val="30"/>
          <w:szCs w:val="30"/>
        </w:rPr>
        <w:t>（项）</w:t>
      </w:r>
      <w:r>
        <w:rPr>
          <w:rStyle w:val="14"/>
          <w:rFonts w:ascii="仿宋" w:hAnsi="仿宋" w:eastAsia="仿宋"/>
          <w:bCs/>
          <w:sz w:val="30"/>
          <w:szCs w:val="30"/>
        </w:rPr>
        <w:t>:</w:t>
      </w:r>
      <w:r>
        <w:rPr>
          <w:rStyle w:val="14"/>
          <w:rFonts w:ascii="仿宋" w:hAnsi="仿宋" w:eastAsia="仿宋"/>
          <w:b w:val="0"/>
          <w:bCs/>
          <w:sz w:val="30"/>
          <w:szCs w:val="30"/>
        </w:rPr>
        <w:t xml:space="preserve"> </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59.21</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r>
        <w:rPr>
          <w:rStyle w:val="14"/>
          <w:rFonts w:hint="eastAsia" w:ascii="仿宋" w:hAnsi="仿宋" w:eastAsia="仿宋"/>
          <w:bCs/>
          <w:sz w:val="30"/>
          <w:szCs w:val="30"/>
        </w:rPr>
        <w:t>科学技术（类）</w:t>
      </w:r>
      <w:r>
        <w:rPr>
          <w:rStyle w:val="14"/>
          <w:rFonts w:hint="eastAsia" w:ascii="仿宋" w:hAnsi="仿宋" w:eastAsia="仿宋"/>
          <w:bCs/>
          <w:sz w:val="30"/>
          <w:szCs w:val="30"/>
          <w:lang w:val="en-US" w:eastAsia="zh-CN"/>
        </w:rPr>
        <w:t>其他科学技术支出</w:t>
      </w:r>
      <w:r>
        <w:rPr>
          <w:rStyle w:val="14"/>
          <w:rFonts w:hint="eastAsia" w:ascii="仿宋" w:hAnsi="仿宋" w:eastAsia="仿宋"/>
          <w:bCs/>
          <w:sz w:val="30"/>
          <w:szCs w:val="30"/>
        </w:rPr>
        <w:t>（款）</w:t>
      </w:r>
      <w:r>
        <w:rPr>
          <w:rStyle w:val="14"/>
          <w:rFonts w:hint="eastAsia" w:ascii="仿宋" w:hAnsi="仿宋" w:eastAsia="仿宋"/>
          <w:bCs/>
          <w:sz w:val="30"/>
          <w:szCs w:val="30"/>
          <w:lang w:val="en-US" w:eastAsia="zh-CN"/>
        </w:rPr>
        <w:t>其他科学技术支出</w:t>
      </w:r>
      <w:r>
        <w:rPr>
          <w:rStyle w:val="14"/>
          <w:rFonts w:hint="eastAsia" w:ascii="仿宋" w:hAnsi="仿宋" w:eastAsia="仿宋"/>
          <w:bCs/>
          <w:sz w:val="30"/>
          <w:szCs w:val="30"/>
        </w:rPr>
        <w:t>（项）</w:t>
      </w:r>
      <w:r>
        <w:rPr>
          <w:rStyle w:val="14"/>
          <w:rFonts w:ascii="仿宋" w:hAnsi="仿宋" w:eastAsia="仿宋"/>
          <w:bCs/>
          <w:sz w:val="30"/>
          <w:szCs w:val="30"/>
        </w:rPr>
        <w:t>:</w:t>
      </w:r>
      <w:r>
        <w:rPr>
          <w:rStyle w:val="14"/>
          <w:rFonts w:ascii="仿宋" w:hAnsi="仿宋" w:eastAsia="仿宋"/>
          <w:b w:val="0"/>
          <w:bCs/>
          <w:sz w:val="30"/>
          <w:szCs w:val="30"/>
        </w:rPr>
        <w:t xml:space="preserve"> </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7.56</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p>
    <w:p>
      <w:pPr>
        <w:spacing w:line="360" w:lineRule="auto"/>
        <w:ind w:firstLine="602" w:firstLineChars="200"/>
        <w:rPr>
          <w:rFonts w:ascii="仿宋" w:hAnsi="仿宋" w:eastAsia="仿宋"/>
          <w:b/>
          <w:sz w:val="30"/>
          <w:szCs w:val="30"/>
        </w:rPr>
      </w:pPr>
      <w:r>
        <w:rPr>
          <w:rStyle w:val="14"/>
          <w:rFonts w:hint="eastAsia" w:ascii="仿宋" w:hAnsi="仿宋" w:eastAsia="仿宋"/>
          <w:bCs/>
          <w:sz w:val="30"/>
          <w:szCs w:val="30"/>
          <w:lang w:val="en-US" w:eastAsia="zh-CN"/>
        </w:rPr>
        <w:t>4</w:t>
      </w:r>
      <w:r>
        <w:rPr>
          <w:rStyle w:val="14"/>
          <w:rFonts w:ascii="仿宋" w:hAnsi="仿宋" w:eastAsia="仿宋"/>
          <w:bCs/>
          <w:sz w:val="30"/>
          <w:szCs w:val="30"/>
        </w:rPr>
        <w:t>.</w:t>
      </w:r>
      <w:r>
        <w:rPr>
          <w:rStyle w:val="14"/>
          <w:rFonts w:hint="eastAsia" w:ascii="仿宋" w:hAnsi="仿宋" w:eastAsia="仿宋"/>
          <w:bCs/>
          <w:sz w:val="30"/>
          <w:szCs w:val="30"/>
        </w:rPr>
        <w:t>社会保障和就业（类）行政事业单位养老支出（款）事业单位离退休（项）</w:t>
      </w:r>
      <w:r>
        <w:rPr>
          <w:rStyle w:val="14"/>
          <w:rFonts w:ascii="仿宋" w:hAnsi="仿宋" w:eastAsia="仿宋"/>
          <w:bCs/>
          <w:sz w:val="30"/>
          <w:szCs w:val="30"/>
        </w:rPr>
        <w:t>:</w:t>
      </w:r>
      <w:r>
        <w:rPr>
          <w:rStyle w:val="14"/>
          <w:rFonts w:ascii="仿宋" w:hAnsi="仿宋" w:eastAsia="仿宋"/>
          <w:b w:val="0"/>
          <w:bCs/>
          <w:sz w:val="30"/>
          <w:szCs w:val="30"/>
        </w:rPr>
        <w:t xml:space="preserve"> </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6.94</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p>
    <w:p>
      <w:pPr>
        <w:spacing w:line="360" w:lineRule="auto"/>
        <w:ind w:firstLine="602" w:firstLineChars="200"/>
        <w:rPr>
          <w:rFonts w:ascii="仿宋" w:hAnsi="仿宋" w:eastAsia="仿宋"/>
          <w:b/>
          <w:sz w:val="30"/>
          <w:szCs w:val="30"/>
        </w:rPr>
      </w:pPr>
      <w:r>
        <w:rPr>
          <w:rStyle w:val="14"/>
          <w:rFonts w:hint="eastAsia" w:ascii="仿宋" w:hAnsi="仿宋" w:eastAsia="仿宋"/>
          <w:bCs/>
          <w:sz w:val="30"/>
          <w:szCs w:val="30"/>
          <w:lang w:val="en-US" w:eastAsia="zh-CN"/>
        </w:rPr>
        <w:t>5</w:t>
      </w:r>
      <w:r>
        <w:rPr>
          <w:rStyle w:val="14"/>
          <w:rFonts w:ascii="仿宋" w:hAnsi="仿宋" w:eastAsia="仿宋"/>
          <w:bCs/>
          <w:sz w:val="30"/>
          <w:szCs w:val="30"/>
        </w:rPr>
        <w:t>.</w:t>
      </w:r>
      <w:r>
        <w:rPr>
          <w:rFonts w:hint="eastAsia" w:ascii="仿宋" w:hAnsi="仿宋" w:eastAsia="仿宋"/>
          <w:b/>
          <w:bCs/>
          <w:sz w:val="30"/>
          <w:szCs w:val="30"/>
          <w:lang w:val="en-US" w:eastAsia="zh-CN"/>
        </w:rPr>
        <w:t>债务付息</w:t>
      </w:r>
      <w:r>
        <w:rPr>
          <w:rStyle w:val="14"/>
          <w:rFonts w:hint="eastAsia" w:ascii="仿宋" w:hAnsi="仿宋" w:eastAsia="仿宋"/>
          <w:bCs/>
          <w:sz w:val="30"/>
          <w:szCs w:val="30"/>
        </w:rPr>
        <w:t>（类）地方政府一般债务付息支出（款）地方政府其他一般债务付息支出（项）</w:t>
      </w:r>
      <w:r>
        <w:rPr>
          <w:rStyle w:val="14"/>
          <w:rFonts w:ascii="仿宋" w:hAnsi="仿宋" w:eastAsia="仿宋"/>
          <w:bCs/>
          <w:sz w:val="30"/>
          <w:szCs w:val="30"/>
        </w:rPr>
        <w:t>:</w:t>
      </w:r>
      <w:r>
        <w:rPr>
          <w:rStyle w:val="14"/>
          <w:rFonts w:hint="eastAsia" w:ascii="仿宋" w:hAnsi="仿宋" w:eastAsia="仿宋"/>
          <w:b w:val="0"/>
          <w:bCs/>
          <w:sz w:val="30"/>
          <w:szCs w:val="30"/>
        </w:rPr>
        <w:t>支出决算为</w:t>
      </w:r>
      <w:r>
        <w:rPr>
          <w:rStyle w:val="14"/>
          <w:rFonts w:hint="eastAsia" w:ascii="仿宋" w:hAnsi="仿宋" w:eastAsia="仿宋"/>
          <w:b w:val="0"/>
          <w:bCs/>
          <w:sz w:val="30"/>
          <w:szCs w:val="30"/>
          <w:lang w:val="en-US" w:eastAsia="zh-CN"/>
        </w:rPr>
        <w:t>471.40</w:t>
      </w:r>
      <w:r>
        <w:rPr>
          <w:rStyle w:val="14"/>
          <w:rFonts w:hint="eastAsia" w:ascii="仿宋" w:hAnsi="仿宋" w:eastAsia="仿宋"/>
          <w:b w:val="0"/>
          <w:bCs/>
          <w:sz w:val="30"/>
          <w:szCs w:val="30"/>
        </w:rPr>
        <w:t>万元，完成预算</w:t>
      </w:r>
      <w:r>
        <w:rPr>
          <w:rStyle w:val="14"/>
          <w:rFonts w:hint="eastAsia" w:ascii="仿宋" w:hAnsi="仿宋" w:eastAsia="仿宋"/>
          <w:b w:val="0"/>
          <w:bCs/>
          <w:sz w:val="30"/>
          <w:szCs w:val="30"/>
          <w:lang w:val="en-US" w:eastAsia="zh-CN"/>
        </w:rPr>
        <w:t>100</w:t>
      </w:r>
      <w:r>
        <w:rPr>
          <w:rStyle w:val="14"/>
          <w:rFonts w:ascii="仿宋" w:hAnsi="仿宋" w:eastAsia="仿宋"/>
          <w:b w:val="0"/>
          <w:bCs/>
          <w:sz w:val="30"/>
          <w:szCs w:val="30"/>
        </w:rPr>
        <w:t>%</w:t>
      </w:r>
      <w:r>
        <w:rPr>
          <w:rStyle w:val="14"/>
          <w:rFonts w:hint="eastAsia" w:ascii="仿宋" w:hAnsi="仿宋" w:eastAsia="仿宋"/>
          <w:b w:val="0"/>
          <w:bCs/>
          <w:sz w:val="30"/>
          <w:szCs w:val="30"/>
        </w:rPr>
        <w:t>。</w:t>
      </w:r>
    </w:p>
    <w:p>
      <w:pPr>
        <w:spacing w:line="360" w:lineRule="auto"/>
        <w:ind w:firstLine="602" w:firstLineChars="200"/>
        <w:rPr>
          <w:rFonts w:ascii="仿宋" w:hAnsi="仿宋" w:eastAsia="仿宋"/>
          <w:b/>
          <w:sz w:val="30"/>
          <w:szCs w:val="30"/>
        </w:rPr>
      </w:pPr>
      <w:r>
        <w:rPr>
          <w:rFonts w:hint="eastAsia" w:ascii="仿宋" w:hAnsi="仿宋" w:eastAsia="仿宋"/>
          <w:b/>
          <w:sz w:val="30"/>
          <w:szCs w:val="30"/>
        </w:rPr>
        <w:t>（注：数据来源于财决</w:t>
      </w:r>
      <w:r>
        <w:rPr>
          <w:rFonts w:ascii="仿宋" w:hAnsi="仿宋" w:eastAsia="仿宋"/>
          <w:b/>
          <w:sz w:val="30"/>
          <w:szCs w:val="30"/>
        </w:rPr>
        <w:t>0</w:t>
      </w:r>
      <w:r>
        <w:rPr>
          <w:rFonts w:hint="eastAsia" w:ascii="仿宋" w:hAnsi="仿宋" w:eastAsia="仿宋"/>
          <w:b/>
          <w:sz w:val="30"/>
          <w:szCs w:val="30"/>
        </w:rPr>
        <w:t>1-1表和财决08表，仅罗列本单位涉及的全部功能分类科目，至项级。上述“预算”口径为全年预算数。增减变动原因为决算数</w:t>
      </w:r>
      <w:r>
        <w:rPr>
          <w:rFonts w:ascii="仿宋" w:hAnsi="仿宋" w:eastAsia="仿宋"/>
          <w:b/>
          <w:sz w:val="30"/>
          <w:szCs w:val="30"/>
        </w:rPr>
        <w:t>&lt;</w:t>
      </w:r>
      <w:r>
        <w:rPr>
          <w:rFonts w:hint="eastAsia" w:ascii="仿宋" w:hAnsi="仿宋" w:eastAsia="仿宋"/>
          <w:b/>
          <w:sz w:val="30"/>
          <w:szCs w:val="30"/>
        </w:rPr>
        <w:t>项级</w:t>
      </w:r>
      <w:r>
        <w:rPr>
          <w:rFonts w:ascii="仿宋" w:hAnsi="仿宋" w:eastAsia="仿宋"/>
          <w:b/>
          <w:sz w:val="30"/>
          <w:szCs w:val="30"/>
        </w:rPr>
        <w:t>&gt;</w:t>
      </w:r>
      <w:r>
        <w:rPr>
          <w:rFonts w:hint="eastAsia" w:ascii="仿宋" w:hAnsi="仿宋" w:eastAsia="仿宋"/>
          <w:b/>
          <w:sz w:val="30"/>
          <w:szCs w:val="30"/>
        </w:rPr>
        <w:t>和全年预算数</w:t>
      </w:r>
      <w:r>
        <w:rPr>
          <w:rFonts w:ascii="仿宋" w:hAnsi="仿宋" w:eastAsia="仿宋"/>
          <w:b/>
          <w:sz w:val="30"/>
          <w:szCs w:val="30"/>
        </w:rPr>
        <w:t>&lt;</w:t>
      </w:r>
      <w:r>
        <w:rPr>
          <w:rFonts w:hint="eastAsia" w:ascii="仿宋" w:hAnsi="仿宋" w:eastAsia="仿宋"/>
          <w:b/>
          <w:sz w:val="30"/>
          <w:szCs w:val="30"/>
        </w:rPr>
        <w:t>项级</w:t>
      </w:r>
      <w:r>
        <w:rPr>
          <w:rFonts w:ascii="仿宋" w:hAnsi="仿宋" w:eastAsia="仿宋"/>
          <w:b/>
          <w:sz w:val="30"/>
          <w:szCs w:val="30"/>
        </w:rPr>
        <w:t>&gt;</w:t>
      </w:r>
      <w:r>
        <w:rPr>
          <w:rFonts w:hint="eastAsia" w:ascii="仿宋" w:hAnsi="仿宋" w:eastAsia="仿宋"/>
          <w:b/>
          <w:sz w:val="30"/>
          <w:szCs w:val="30"/>
        </w:rPr>
        <w:t>比较，与预算数持平可以不写原因。）</w:t>
      </w:r>
    </w:p>
    <w:p>
      <w:pPr>
        <w:spacing w:line="600" w:lineRule="exact"/>
        <w:ind w:firstLine="640"/>
        <w:rPr>
          <w:rFonts w:ascii="仿宋" w:hAnsi="仿宋" w:eastAsia="仿宋"/>
          <w:b/>
          <w:sz w:val="32"/>
          <w:szCs w:val="32"/>
        </w:rPr>
      </w:pPr>
    </w:p>
    <w:p>
      <w:pPr>
        <w:tabs>
          <w:tab w:val="right" w:pos="8306"/>
        </w:tabs>
        <w:spacing w:line="600" w:lineRule="exact"/>
        <w:ind w:firstLine="640"/>
        <w:outlineLvl w:val="1"/>
        <w:rPr>
          <w:rStyle w:val="25"/>
        </w:rPr>
      </w:pPr>
      <w:bookmarkStart w:id="47" w:name="_Toc9663"/>
      <w:bookmarkStart w:id="48" w:name="_Toc15396608"/>
      <w:bookmarkStart w:id="49" w:name="_Toc15377214"/>
      <w:r>
        <w:rPr>
          <w:rFonts w:hint="eastAsia" w:ascii="黑体" w:eastAsia="黑体"/>
          <w:sz w:val="32"/>
          <w:szCs w:val="32"/>
        </w:rPr>
        <w:t>六</w:t>
      </w:r>
      <w:r>
        <w:rPr>
          <w:rFonts w:hint="eastAsia" w:ascii="黑体" w:eastAsia="黑体"/>
          <w:b/>
          <w:sz w:val="32"/>
          <w:szCs w:val="32"/>
        </w:rPr>
        <w:t>、</w:t>
      </w:r>
      <w:r>
        <w:rPr>
          <w:rFonts w:hint="eastAsia" w:ascii="黑体" w:hAnsi="黑体" w:eastAsia="黑体"/>
          <w:b/>
          <w:sz w:val="32"/>
          <w:szCs w:val="32"/>
        </w:rPr>
        <w:t>一</w:t>
      </w:r>
      <w:r>
        <w:rPr>
          <w:rStyle w:val="25"/>
          <w:rFonts w:hint="eastAsia" w:ascii="黑体" w:hAnsi="黑体" w:eastAsia="黑体"/>
          <w:b w:val="0"/>
        </w:rPr>
        <w:t>般公共预算财政拨款基本支出决算情况说明</w:t>
      </w:r>
      <w:bookmarkEnd w:id="47"/>
      <w:bookmarkEnd w:id="48"/>
      <w:bookmarkEnd w:id="49"/>
      <w:r>
        <w:rPr>
          <w:rStyle w:val="25"/>
          <w:rFonts w:ascii="黑体" w:hAnsi="黑体" w:eastAsia="黑体"/>
          <w:b w:val="0"/>
        </w:rPr>
        <w:tab/>
      </w:r>
    </w:p>
    <w:p>
      <w:pPr>
        <w:spacing w:line="360" w:lineRule="auto"/>
        <w:ind w:firstLine="645"/>
        <w:rPr>
          <w:rFonts w:ascii="仿宋" w:hAnsi="仿宋" w:eastAsia="仿宋"/>
          <w:sz w:val="30"/>
          <w:szCs w:val="30"/>
        </w:rPr>
      </w:pPr>
      <w:r>
        <w:rPr>
          <w:rFonts w:ascii="仿宋" w:hAnsi="仿宋" w:eastAsia="仿宋"/>
          <w:sz w:val="30"/>
          <w:szCs w:val="30"/>
        </w:rPr>
        <w:t>20</w:t>
      </w:r>
      <w:r>
        <w:rPr>
          <w:rFonts w:hint="eastAsia" w:ascii="仿宋" w:hAnsi="仿宋" w:eastAsia="仿宋"/>
          <w:sz w:val="30"/>
          <w:szCs w:val="30"/>
        </w:rPr>
        <w:t>22年一般公共预算财政拨款基本支出</w:t>
      </w:r>
      <w:r>
        <w:rPr>
          <w:rFonts w:hint="eastAsia" w:ascii="仿宋" w:hAnsi="仿宋" w:eastAsia="仿宋"/>
          <w:sz w:val="30"/>
          <w:szCs w:val="30"/>
          <w:lang w:val="en-US" w:eastAsia="zh-CN"/>
        </w:rPr>
        <w:t>19140.47</w:t>
      </w:r>
      <w:r>
        <w:rPr>
          <w:rFonts w:hint="eastAsia" w:ascii="仿宋" w:hAnsi="仿宋" w:eastAsia="仿宋"/>
          <w:sz w:val="30"/>
          <w:szCs w:val="30"/>
        </w:rPr>
        <w:t>万元，其中：</w:t>
      </w:r>
    </w:p>
    <w:p>
      <w:pPr>
        <w:spacing w:line="360" w:lineRule="auto"/>
        <w:ind w:firstLine="645"/>
        <w:rPr>
          <w:rFonts w:ascii="仿宋" w:hAnsi="仿宋" w:eastAsia="仿宋"/>
          <w:sz w:val="30"/>
          <w:szCs w:val="30"/>
        </w:rPr>
      </w:pPr>
      <w:r>
        <w:rPr>
          <w:rFonts w:hint="eastAsia" w:ascii="仿宋" w:hAnsi="仿宋" w:eastAsia="仿宋"/>
          <w:sz w:val="30"/>
          <w:szCs w:val="30"/>
        </w:rPr>
        <w:t>人员经费</w:t>
      </w:r>
      <w:r>
        <w:rPr>
          <w:rFonts w:hint="eastAsia" w:ascii="仿宋" w:hAnsi="仿宋" w:eastAsia="仿宋"/>
          <w:sz w:val="30"/>
          <w:szCs w:val="30"/>
          <w:lang w:val="en-US" w:eastAsia="zh-CN"/>
        </w:rPr>
        <w:t>16538.23</w:t>
      </w:r>
      <w:r>
        <w:rPr>
          <w:rFonts w:hint="eastAsia" w:ascii="仿宋" w:hAnsi="仿宋" w:eastAsia="仿宋"/>
          <w:sz w:val="30"/>
          <w:szCs w:val="30"/>
        </w:rPr>
        <w:t>万元，主要包括：基本工资、津贴补贴、奖金、伙食补助费、绩效工资、机关事业单位基本养老保险缴费、职业年金缴费、其他社会保障缴费、其他工资福利支出、离休费、退休费、抚恤金、生活补助、医疗费补助、奖励金、住房公积金、其他对个人和家庭的补助支出等。</w:t>
      </w:r>
      <w:r>
        <w:rPr>
          <w:rFonts w:ascii="仿宋" w:hAnsi="仿宋" w:eastAsia="仿宋"/>
          <w:sz w:val="30"/>
          <w:szCs w:val="30"/>
        </w:rPr>
        <w:br w:type="textWrapping"/>
      </w:r>
      <w:r>
        <w:rPr>
          <w:rFonts w:hint="eastAsia" w:ascii="仿宋" w:hAnsi="仿宋" w:eastAsia="仿宋"/>
          <w:sz w:val="30"/>
          <w:szCs w:val="30"/>
        </w:rPr>
        <w:t>　　公用经费</w:t>
      </w:r>
      <w:r>
        <w:rPr>
          <w:rFonts w:hint="eastAsia" w:ascii="仿宋" w:hAnsi="仿宋" w:eastAsia="仿宋"/>
          <w:sz w:val="30"/>
          <w:szCs w:val="30"/>
          <w:lang w:val="en-US" w:eastAsia="zh-CN"/>
        </w:rPr>
        <w:t>2602.24</w:t>
      </w:r>
      <w:r>
        <w:rPr>
          <w:rFonts w:hint="eastAsia" w:ascii="仿宋" w:hAnsi="仿宋" w:eastAsia="仿宋"/>
          <w:sz w:val="30"/>
          <w:szCs w:val="30"/>
        </w:rPr>
        <w:t>万元，主要包括：办公费、印刷费、咨询费、手续费、水费、电费、邮电费、取暖费、物业管理费、差旅费、因公出国（境）费用、维修（护）费、租赁费、会议费、培训费、公务接待费、劳务费、委托业务费、工会经费、福利费、公务用车运行维护费、其他交通费、税金及附加费用、其他商品和服务支出、办公设备购置、专用设备购置、信息网络及软件购置更新、其他资本性支出等。</w:t>
      </w:r>
    </w:p>
    <w:p>
      <w:pPr>
        <w:spacing w:line="360" w:lineRule="auto"/>
        <w:ind w:firstLine="645"/>
        <w:rPr>
          <w:rFonts w:ascii="仿宋" w:hAnsi="仿宋" w:eastAsia="仿宋"/>
          <w:b/>
          <w:sz w:val="32"/>
          <w:szCs w:val="32"/>
        </w:rPr>
      </w:pPr>
      <w:r>
        <w:rPr>
          <w:rFonts w:hint="eastAsia" w:ascii="仿宋" w:hAnsi="仿宋" w:eastAsia="仿宋"/>
          <w:b/>
          <w:sz w:val="30"/>
          <w:szCs w:val="30"/>
        </w:rPr>
        <w:t>（注：数据来源于财决</w:t>
      </w:r>
      <w:r>
        <w:rPr>
          <w:rFonts w:ascii="仿宋" w:hAnsi="仿宋" w:eastAsia="仿宋"/>
          <w:b/>
          <w:sz w:val="30"/>
          <w:szCs w:val="30"/>
        </w:rPr>
        <w:t>0</w:t>
      </w:r>
      <w:r>
        <w:rPr>
          <w:rFonts w:hint="eastAsia" w:ascii="仿宋" w:hAnsi="仿宋" w:eastAsia="仿宋"/>
          <w:b/>
          <w:sz w:val="30"/>
          <w:szCs w:val="30"/>
        </w:rPr>
        <w:t>7表和财决08-1表，仅罗列本单位实际支出涉及的经济分类科目。）</w:t>
      </w:r>
    </w:p>
    <w:p>
      <w:pPr>
        <w:spacing w:line="600" w:lineRule="exact"/>
        <w:ind w:firstLine="640"/>
        <w:rPr>
          <w:rFonts w:ascii="仿宋" w:hAnsi="仿宋" w:eastAsia="仿宋"/>
          <w:b/>
          <w:sz w:val="32"/>
          <w:szCs w:val="32"/>
        </w:rPr>
      </w:pPr>
    </w:p>
    <w:p>
      <w:pPr>
        <w:spacing w:line="600" w:lineRule="exact"/>
        <w:ind w:firstLine="640"/>
        <w:outlineLvl w:val="1"/>
        <w:rPr>
          <w:rStyle w:val="25"/>
          <w:rFonts w:ascii="黑体" w:hAnsi="黑体" w:eastAsia="黑体"/>
          <w:b w:val="0"/>
        </w:rPr>
      </w:pPr>
      <w:bookmarkStart w:id="50" w:name="_Toc15377215"/>
      <w:bookmarkStart w:id="51" w:name="_Toc15396609"/>
      <w:bookmarkStart w:id="52" w:name="_Toc1528"/>
      <w:r>
        <w:rPr>
          <w:rFonts w:hint="eastAsia" w:ascii="黑体" w:eastAsia="黑体"/>
          <w:sz w:val="32"/>
          <w:szCs w:val="32"/>
        </w:rPr>
        <w:t>七、</w:t>
      </w:r>
      <w:r>
        <w:rPr>
          <w:rStyle w:val="25"/>
          <w:rFonts w:hint="eastAsia" w:ascii="黑体" w:hAnsi="黑体" w:eastAsia="黑体"/>
          <w:b w:val="0"/>
        </w:rPr>
        <w:t>财政拨款</w:t>
      </w:r>
      <w:r>
        <w:rPr>
          <w:rStyle w:val="25"/>
          <w:rFonts w:hint="eastAsia" w:ascii="黑体" w:hAnsi="黑体" w:eastAsia="黑体"/>
        </w:rPr>
        <w:t>“</w:t>
      </w:r>
      <w:r>
        <w:rPr>
          <w:rStyle w:val="25"/>
          <w:rFonts w:hint="eastAsia" w:ascii="黑体" w:hAnsi="黑体" w:eastAsia="黑体"/>
          <w:b w:val="0"/>
        </w:rPr>
        <w:t>三公”经费支出决算情况说明</w:t>
      </w:r>
      <w:bookmarkEnd w:id="50"/>
      <w:bookmarkEnd w:id="51"/>
      <w:bookmarkEnd w:id="52"/>
    </w:p>
    <w:p>
      <w:pPr>
        <w:spacing w:line="360" w:lineRule="auto"/>
        <w:ind w:firstLine="640"/>
        <w:outlineLvl w:val="2"/>
        <w:rPr>
          <w:rFonts w:ascii="仿宋" w:hAnsi="仿宋" w:eastAsia="仿宋"/>
          <w:b/>
          <w:sz w:val="30"/>
          <w:szCs w:val="30"/>
        </w:rPr>
      </w:pPr>
      <w:bookmarkStart w:id="53" w:name="_Toc15377216"/>
      <w:r>
        <w:rPr>
          <w:rFonts w:hint="eastAsia" w:ascii="仿宋" w:hAnsi="仿宋" w:eastAsia="仿宋"/>
          <w:b/>
          <w:sz w:val="30"/>
          <w:szCs w:val="30"/>
        </w:rPr>
        <w:t>（一）“三公”经费财政拨款支出决算总体情况说明</w:t>
      </w:r>
      <w:bookmarkEnd w:id="53"/>
    </w:p>
    <w:p>
      <w:pPr>
        <w:spacing w:before="220" w:line="360" w:lineRule="auto"/>
        <w:ind w:left="35" w:right="109" w:firstLine="634"/>
        <w:jc w:val="both"/>
        <w:rPr>
          <w:rFonts w:ascii="仿宋" w:hAnsi="仿宋" w:eastAsia="仿宋"/>
          <w:sz w:val="30"/>
          <w:szCs w:val="30"/>
        </w:rPr>
      </w:pPr>
      <w:r>
        <w:rPr>
          <w:rFonts w:ascii="仿宋" w:hAnsi="仿宋" w:eastAsia="仿宋"/>
          <w:sz w:val="30"/>
          <w:szCs w:val="30"/>
        </w:rPr>
        <w:t>20</w:t>
      </w:r>
      <w:r>
        <w:rPr>
          <w:rFonts w:hint="eastAsia" w:ascii="仿宋" w:hAnsi="仿宋" w:eastAsia="仿宋"/>
          <w:sz w:val="30"/>
          <w:szCs w:val="30"/>
        </w:rPr>
        <w:t>22年“三公”经费财政拨款支出决算为</w:t>
      </w:r>
      <w:r>
        <w:rPr>
          <w:rFonts w:hint="eastAsia" w:ascii="仿宋" w:hAnsi="仿宋" w:eastAsia="仿宋"/>
          <w:sz w:val="30"/>
          <w:szCs w:val="30"/>
          <w:lang w:val="en-US" w:eastAsia="zh-CN"/>
        </w:rPr>
        <w:t>72.24</w:t>
      </w:r>
      <w:r>
        <w:rPr>
          <w:rFonts w:hint="eastAsia" w:ascii="仿宋" w:hAnsi="仿宋" w:eastAsia="仿宋"/>
          <w:sz w:val="30"/>
          <w:szCs w:val="30"/>
        </w:rPr>
        <w:t>万元，完成预算</w:t>
      </w:r>
      <w:r>
        <w:rPr>
          <w:rFonts w:hint="eastAsia" w:ascii="仿宋" w:hAnsi="仿宋" w:eastAsia="仿宋"/>
          <w:sz w:val="30"/>
          <w:szCs w:val="30"/>
          <w:lang w:val="en-US" w:eastAsia="zh-CN"/>
        </w:rPr>
        <w:t>90.75</w:t>
      </w:r>
      <w:r>
        <w:rPr>
          <w:rFonts w:ascii="仿宋" w:hAnsi="仿宋" w:eastAsia="仿宋"/>
          <w:sz w:val="30"/>
          <w:szCs w:val="30"/>
        </w:rPr>
        <w:t>%</w:t>
      </w:r>
      <w:r>
        <w:rPr>
          <w:rFonts w:hint="eastAsia" w:ascii="仿宋" w:hAnsi="仿宋" w:eastAsia="仿宋"/>
          <w:sz w:val="30"/>
          <w:szCs w:val="30"/>
        </w:rPr>
        <w:t>，较上年增加</w:t>
      </w:r>
      <w:r>
        <w:rPr>
          <w:rFonts w:hint="eastAsia" w:ascii="仿宋" w:hAnsi="仿宋" w:eastAsia="仿宋"/>
          <w:sz w:val="30"/>
          <w:szCs w:val="30"/>
          <w:lang w:val="en-US" w:eastAsia="zh-CN"/>
        </w:rPr>
        <w:t>0.57</w:t>
      </w:r>
      <w:r>
        <w:rPr>
          <w:rFonts w:hint="eastAsia" w:ascii="仿宋" w:hAnsi="仿宋" w:eastAsia="仿宋"/>
          <w:sz w:val="30"/>
          <w:szCs w:val="30"/>
        </w:rPr>
        <w:t>万元，增长</w:t>
      </w:r>
      <w:r>
        <w:rPr>
          <w:rFonts w:hint="eastAsia" w:ascii="仿宋" w:hAnsi="仿宋" w:eastAsia="仿宋"/>
          <w:sz w:val="30"/>
          <w:szCs w:val="30"/>
          <w:lang w:val="en-US" w:eastAsia="zh-CN"/>
        </w:rPr>
        <w:t>0.80</w:t>
      </w:r>
      <w:r>
        <w:rPr>
          <w:rFonts w:hint="eastAsia" w:ascii="仿宋" w:hAnsi="仿宋" w:eastAsia="仿宋"/>
          <w:sz w:val="30"/>
          <w:szCs w:val="30"/>
        </w:rPr>
        <w:t>%。决算数小于预算数的主要原因是</w:t>
      </w:r>
      <w:r>
        <w:rPr>
          <w:rFonts w:ascii="仿宋" w:hAnsi="仿宋" w:eastAsia="仿宋" w:cs="仿宋"/>
          <w:spacing w:val="4"/>
          <w:sz w:val="30"/>
          <w:szCs w:val="30"/>
        </w:rPr>
        <w:t>学校严格</w:t>
      </w:r>
      <w:r>
        <w:rPr>
          <w:rFonts w:ascii="仿宋" w:hAnsi="仿宋" w:eastAsia="仿宋" w:cs="仿宋"/>
          <w:sz w:val="30"/>
          <w:szCs w:val="30"/>
        </w:rPr>
        <w:t xml:space="preserve"> </w:t>
      </w:r>
      <w:r>
        <w:rPr>
          <w:rFonts w:ascii="仿宋" w:hAnsi="仿宋" w:eastAsia="仿宋" w:cs="仿宋"/>
          <w:spacing w:val="8"/>
          <w:sz w:val="30"/>
          <w:szCs w:val="30"/>
        </w:rPr>
        <w:t>按照国家和校内相关要求，厉行节约，严格管控相关经费支</w:t>
      </w:r>
      <w:r>
        <w:rPr>
          <w:rFonts w:ascii="仿宋" w:hAnsi="仿宋" w:eastAsia="仿宋" w:cs="仿宋"/>
          <w:spacing w:val="-23"/>
          <w:sz w:val="30"/>
          <w:szCs w:val="30"/>
        </w:rPr>
        <w:t>出</w:t>
      </w:r>
      <w:r>
        <w:rPr>
          <w:rFonts w:hint="eastAsia" w:ascii="仿宋" w:hAnsi="仿宋" w:eastAsia="仿宋"/>
          <w:sz w:val="30"/>
          <w:szCs w:val="30"/>
        </w:rPr>
        <w:t>。</w:t>
      </w:r>
    </w:p>
    <w:p>
      <w:pPr>
        <w:spacing w:line="360" w:lineRule="auto"/>
        <w:ind w:firstLine="640"/>
        <w:rPr>
          <w:rFonts w:ascii="仿宋" w:hAnsi="仿宋" w:eastAsia="仿宋"/>
          <w:b/>
          <w:sz w:val="30"/>
          <w:szCs w:val="30"/>
        </w:rPr>
      </w:pPr>
      <w:r>
        <w:rPr>
          <w:rFonts w:hint="eastAsia" w:ascii="仿宋" w:hAnsi="仿宋" w:eastAsia="仿宋"/>
          <w:b/>
          <w:sz w:val="30"/>
          <w:szCs w:val="30"/>
        </w:rPr>
        <w:t>（注：上述“预算”口径为全年预算数，包括一般公共预算和政府性基金预算财政拨款支出决算情况。）</w:t>
      </w:r>
    </w:p>
    <w:p>
      <w:pPr>
        <w:spacing w:line="360" w:lineRule="auto"/>
        <w:ind w:firstLine="640"/>
        <w:outlineLvl w:val="2"/>
        <w:rPr>
          <w:rFonts w:ascii="仿宋" w:hAnsi="仿宋" w:eastAsia="仿宋"/>
          <w:b/>
          <w:sz w:val="30"/>
          <w:szCs w:val="30"/>
        </w:rPr>
      </w:pPr>
      <w:bookmarkStart w:id="54" w:name="_Toc15377217"/>
      <w:r>
        <w:rPr>
          <w:rFonts w:hint="eastAsia" w:ascii="仿宋" w:hAnsi="仿宋" w:eastAsia="仿宋"/>
          <w:b/>
          <w:sz w:val="30"/>
          <w:szCs w:val="30"/>
        </w:rPr>
        <w:t>（二）“三公”经费财政拨款支出决算具体情况说明</w:t>
      </w:r>
      <w:bookmarkEnd w:id="54"/>
    </w:p>
    <w:p>
      <w:pPr>
        <w:spacing w:line="360" w:lineRule="auto"/>
        <w:ind w:firstLine="640"/>
        <w:rPr>
          <w:rFonts w:hint="eastAsia" w:ascii="仿宋" w:hAnsi="仿宋" w:eastAsia="仿宋"/>
          <w:sz w:val="30"/>
          <w:szCs w:val="30"/>
        </w:rPr>
      </w:pPr>
      <w:r>
        <w:rPr>
          <w:rFonts w:ascii="仿宋" w:hAnsi="仿宋" w:eastAsia="仿宋"/>
          <w:sz w:val="30"/>
          <w:szCs w:val="30"/>
        </w:rPr>
        <w:t>20</w:t>
      </w:r>
      <w:r>
        <w:rPr>
          <w:rFonts w:hint="eastAsia" w:ascii="仿宋" w:hAnsi="仿宋" w:eastAsia="仿宋"/>
          <w:sz w:val="30"/>
          <w:szCs w:val="30"/>
        </w:rPr>
        <w:t>22年“三公”经费财政拨款支出决算中，因公出国（境）费支出决算</w:t>
      </w:r>
      <w:r>
        <w:rPr>
          <w:rFonts w:hint="eastAsia" w:ascii="仿宋" w:hAnsi="仿宋" w:eastAsia="仿宋"/>
          <w:sz w:val="30"/>
          <w:szCs w:val="30"/>
          <w:lang w:val="en-US" w:eastAsia="zh-CN"/>
        </w:rPr>
        <w:t>0</w:t>
      </w:r>
      <w:r>
        <w:rPr>
          <w:rFonts w:hint="eastAsia" w:ascii="仿宋" w:hAnsi="仿宋" w:eastAsia="仿宋"/>
          <w:sz w:val="30"/>
          <w:szCs w:val="30"/>
        </w:rPr>
        <w:t>万元，占</w:t>
      </w:r>
      <w:r>
        <w:rPr>
          <w:rFonts w:hint="eastAsia" w:ascii="仿宋" w:hAnsi="仿宋" w:eastAsia="仿宋"/>
          <w:sz w:val="30"/>
          <w:szCs w:val="30"/>
          <w:lang w:val="en-US" w:eastAsia="zh-CN"/>
        </w:rPr>
        <w:t>0</w:t>
      </w:r>
      <w:r>
        <w:rPr>
          <w:rFonts w:ascii="仿宋" w:hAnsi="仿宋" w:eastAsia="仿宋"/>
          <w:sz w:val="30"/>
          <w:szCs w:val="30"/>
        </w:rPr>
        <w:t>%</w:t>
      </w:r>
      <w:r>
        <w:rPr>
          <w:rFonts w:hint="eastAsia" w:ascii="仿宋" w:hAnsi="仿宋" w:eastAsia="仿宋"/>
          <w:sz w:val="30"/>
          <w:szCs w:val="30"/>
        </w:rPr>
        <w:t>；公务用车购置及运行维护费支出决算</w:t>
      </w:r>
      <w:r>
        <w:rPr>
          <w:rFonts w:hint="eastAsia" w:ascii="仿宋" w:hAnsi="仿宋" w:eastAsia="仿宋"/>
          <w:sz w:val="30"/>
          <w:szCs w:val="30"/>
          <w:lang w:val="en-US" w:eastAsia="zh-CN"/>
        </w:rPr>
        <w:t>65.33</w:t>
      </w:r>
      <w:r>
        <w:rPr>
          <w:rFonts w:hint="eastAsia" w:ascii="仿宋" w:hAnsi="仿宋" w:eastAsia="仿宋"/>
          <w:sz w:val="30"/>
          <w:szCs w:val="30"/>
        </w:rPr>
        <w:t>万元，占</w:t>
      </w:r>
      <w:r>
        <w:rPr>
          <w:rFonts w:hint="eastAsia" w:ascii="仿宋" w:hAnsi="仿宋" w:eastAsia="仿宋"/>
          <w:sz w:val="30"/>
          <w:szCs w:val="30"/>
          <w:lang w:val="en-US" w:eastAsia="zh-CN"/>
        </w:rPr>
        <w:t>90.43</w:t>
      </w:r>
      <w:r>
        <w:rPr>
          <w:rFonts w:ascii="仿宋" w:hAnsi="仿宋" w:eastAsia="仿宋"/>
          <w:sz w:val="30"/>
          <w:szCs w:val="30"/>
        </w:rPr>
        <w:t>%</w:t>
      </w:r>
      <w:r>
        <w:rPr>
          <w:rFonts w:hint="eastAsia" w:ascii="仿宋" w:hAnsi="仿宋" w:eastAsia="仿宋"/>
          <w:sz w:val="30"/>
          <w:szCs w:val="30"/>
        </w:rPr>
        <w:t>；公务接待费支出决算</w:t>
      </w:r>
      <w:r>
        <w:rPr>
          <w:rFonts w:hint="eastAsia" w:ascii="仿宋" w:hAnsi="仿宋" w:eastAsia="仿宋"/>
          <w:sz w:val="30"/>
          <w:szCs w:val="30"/>
          <w:lang w:val="en-US" w:eastAsia="zh-CN"/>
        </w:rPr>
        <w:t>6.91</w:t>
      </w:r>
      <w:r>
        <w:rPr>
          <w:rFonts w:hint="eastAsia" w:ascii="仿宋" w:hAnsi="仿宋" w:eastAsia="仿宋"/>
          <w:sz w:val="30"/>
          <w:szCs w:val="30"/>
        </w:rPr>
        <w:t>万元，占</w:t>
      </w:r>
      <w:r>
        <w:rPr>
          <w:rFonts w:hint="eastAsia" w:ascii="仿宋" w:hAnsi="仿宋" w:eastAsia="仿宋"/>
          <w:sz w:val="30"/>
          <w:szCs w:val="30"/>
          <w:lang w:val="en-US" w:eastAsia="zh-CN"/>
        </w:rPr>
        <w:t>9.57</w:t>
      </w:r>
      <w:r>
        <w:rPr>
          <w:rFonts w:ascii="仿宋" w:hAnsi="仿宋" w:eastAsia="仿宋"/>
          <w:sz w:val="30"/>
          <w:szCs w:val="30"/>
        </w:rPr>
        <w:t>%</w:t>
      </w:r>
      <w:r>
        <w:rPr>
          <w:rFonts w:hint="eastAsia" w:ascii="仿宋" w:hAnsi="仿宋" w:eastAsia="仿宋"/>
          <w:sz w:val="30"/>
          <w:szCs w:val="30"/>
        </w:rPr>
        <w:t>。具体情况如下：</w:t>
      </w:r>
    </w:p>
    <w:p>
      <w:pPr>
        <w:spacing w:line="600" w:lineRule="exact"/>
        <w:jc w:val="center"/>
        <w:outlineLvl w:val="9"/>
        <w:rPr>
          <w:rFonts w:hint="eastAsia" w:ascii="仿宋" w:hAnsi="仿宋" w:eastAsia="仿宋" w:cs="仿宋"/>
          <w:spacing w:val="8"/>
          <w:sz w:val="21"/>
          <w:szCs w:val="21"/>
        </w:rPr>
      </w:pPr>
      <w:r>
        <w:rPr>
          <w:rFonts w:hint="eastAsia" w:ascii="仿宋" w:hAnsi="仿宋" w:eastAsia="仿宋" w:cs="仿宋"/>
          <w:spacing w:val="8"/>
          <w:sz w:val="21"/>
          <w:szCs w:val="21"/>
          <w:lang w:eastAsia="zh-CN"/>
        </w:rPr>
        <w:drawing>
          <wp:anchor distT="0" distB="0" distL="114300" distR="114300" simplePos="0" relativeHeight="251665408" behindDoc="0" locked="0" layoutInCell="1" allowOverlap="1">
            <wp:simplePos x="0" y="0"/>
            <wp:positionH relativeFrom="column">
              <wp:posOffset>106680</wp:posOffset>
            </wp:positionH>
            <wp:positionV relativeFrom="paragraph">
              <wp:posOffset>108585</wp:posOffset>
            </wp:positionV>
            <wp:extent cx="5256530" cy="2988310"/>
            <wp:effectExtent l="5080" t="4445" r="15240" b="17145"/>
            <wp:wrapTopAndBottom/>
            <wp:docPr id="4"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Pr>
          <w:rFonts w:hint="eastAsia" w:ascii="仿宋" w:hAnsi="仿宋" w:eastAsia="仿宋" w:cs="仿宋"/>
          <w:spacing w:val="8"/>
          <w:sz w:val="21"/>
          <w:szCs w:val="21"/>
        </w:rPr>
        <w:t>（图7：“三公”经费财政拨款支出结构）（饼状图）</w:t>
      </w:r>
    </w:p>
    <w:p>
      <w:pPr>
        <w:spacing w:line="600" w:lineRule="exact"/>
        <w:ind w:firstLine="640"/>
        <w:rPr>
          <w:rFonts w:hint="eastAsia" w:ascii="仿宋" w:hAnsi="仿宋" w:eastAsia="仿宋" w:cs="仿宋"/>
          <w:b/>
          <w:sz w:val="30"/>
          <w:szCs w:val="30"/>
        </w:rPr>
      </w:pPr>
      <w:r>
        <w:rPr>
          <w:rFonts w:hint="eastAsia" w:ascii="仿宋" w:hAnsi="仿宋" w:eastAsia="仿宋" w:cs="仿宋"/>
          <w:b/>
          <w:sz w:val="30"/>
          <w:szCs w:val="30"/>
        </w:rPr>
        <w:t>1.因公出国（境）经费支出</w:t>
      </w:r>
      <w:r>
        <w:rPr>
          <w:rFonts w:hint="eastAsia" w:ascii="仿宋" w:hAnsi="仿宋" w:eastAsia="仿宋" w:cs="仿宋"/>
          <w:sz w:val="30"/>
          <w:szCs w:val="30"/>
          <w:lang w:val="en-US" w:eastAsia="zh-CN"/>
        </w:rPr>
        <w:t>0</w:t>
      </w:r>
      <w:r>
        <w:rPr>
          <w:rFonts w:hint="eastAsia" w:ascii="仿宋" w:hAnsi="仿宋" w:eastAsia="仿宋" w:cs="仿宋"/>
          <w:sz w:val="30"/>
          <w:szCs w:val="30"/>
        </w:rPr>
        <w:t>万元，</w:t>
      </w:r>
      <w:r>
        <w:rPr>
          <w:rStyle w:val="14"/>
          <w:rFonts w:hint="eastAsia" w:ascii="仿宋" w:hAnsi="仿宋" w:eastAsia="仿宋" w:cs="仿宋"/>
          <w:b w:val="0"/>
          <w:bCs/>
          <w:sz w:val="30"/>
          <w:szCs w:val="30"/>
        </w:rPr>
        <w:t>完成预算</w:t>
      </w:r>
      <w:r>
        <w:rPr>
          <w:rStyle w:val="14"/>
          <w:rFonts w:hint="eastAsia" w:ascii="仿宋" w:hAnsi="仿宋" w:eastAsia="仿宋" w:cs="仿宋"/>
          <w:b w:val="0"/>
          <w:bCs/>
          <w:sz w:val="30"/>
          <w:szCs w:val="30"/>
          <w:lang w:val="en-US" w:eastAsia="zh-CN"/>
        </w:rPr>
        <w:t>0</w:t>
      </w:r>
      <w:r>
        <w:rPr>
          <w:rStyle w:val="14"/>
          <w:rFonts w:hint="eastAsia" w:ascii="仿宋" w:hAnsi="仿宋" w:eastAsia="仿宋" w:cs="仿宋"/>
          <w:b w:val="0"/>
          <w:bCs/>
          <w:sz w:val="30"/>
          <w:szCs w:val="30"/>
        </w:rPr>
        <w:t>%。</w:t>
      </w:r>
      <w:r>
        <w:rPr>
          <w:rFonts w:hint="eastAsia" w:ascii="仿宋" w:hAnsi="仿宋" w:eastAsia="仿宋" w:cs="仿宋"/>
          <w:sz w:val="30"/>
          <w:szCs w:val="30"/>
        </w:rPr>
        <w:t>全年安排因公出国（境）团组</w:t>
      </w:r>
      <w:r>
        <w:rPr>
          <w:rFonts w:hint="eastAsia" w:ascii="仿宋" w:hAnsi="仿宋" w:eastAsia="仿宋" w:cs="仿宋"/>
          <w:sz w:val="30"/>
          <w:szCs w:val="30"/>
          <w:lang w:val="en-US" w:eastAsia="zh-CN"/>
        </w:rPr>
        <w:t>0</w:t>
      </w:r>
      <w:r>
        <w:rPr>
          <w:rFonts w:hint="eastAsia" w:ascii="仿宋" w:hAnsi="仿宋" w:eastAsia="仿宋" w:cs="仿宋"/>
          <w:sz w:val="30"/>
          <w:szCs w:val="30"/>
        </w:rPr>
        <w:t>次，出国（境）</w:t>
      </w:r>
      <w:r>
        <w:rPr>
          <w:rFonts w:hint="eastAsia" w:ascii="仿宋" w:hAnsi="仿宋" w:eastAsia="仿宋" w:cs="仿宋"/>
          <w:sz w:val="30"/>
          <w:szCs w:val="30"/>
          <w:lang w:val="en-US" w:eastAsia="zh-CN"/>
        </w:rPr>
        <w:t>0</w:t>
      </w:r>
      <w:r>
        <w:rPr>
          <w:rFonts w:hint="eastAsia" w:ascii="仿宋" w:hAnsi="仿宋" w:eastAsia="仿宋" w:cs="仿宋"/>
          <w:sz w:val="30"/>
          <w:szCs w:val="30"/>
        </w:rPr>
        <w:t>人。因公出国（境）支出决算比2021年增加/减少</w:t>
      </w:r>
      <w:r>
        <w:rPr>
          <w:rFonts w:hint="eastAsia" w:ascii="仿宋" w:hAnsi="仿宋" w:eastAsia="仿宋" w:cs="仿宋"/>
          <w:sz w:val="30"/>
          <w:szCs w:val="30"/>
          <w:lang w:val="en-US" w:eastAsia="zh-CN"/>
        </w:rPr>
        <w:t>0</w:t>
      </w:r>
      <w:r>
        <w:rPr>
          <w:rFonts w:hint="eastAsia" w:ascii="仿宋" w:hAnsi="仿宋" w:eastAsia="仿宋" w:cs="仿宋"/>
          <w:sz w:val="30"/>
          <w:szCs w:val="30"/>
        </w:rPr>
        <w:t>万元，增长/下降</w:t>
      </w:r>
      <w:r>
        <w:rPr>
          <w:rFonts w:hint="eastAsia" w:ascii="仿宋" w:hAnsi="仿宋" w:eastAsia="仿宋" w:cs="仿宋"/>
          <w:sz w:val="30"/>
          <w:szCs w:val="30"/>
          <w:lang w:val="en-US" w:eastAsia="zh-CN"/>
        </w:rPr>
        <w:t>0</w:t>
      </w:r>
      <w:r>
        <w:rPr>
          <w:rFonts w:hint="eastAsia" w:ascii="仿宋" w:hAnsi="仿宋" w:eastAsia="仿宋" w:cs="仿宋"/>
          <w:sz w:val="30"/>
          <w:szCs w:val="30"/>
        </w:rPr>
        <w:t>%。主要原因是</w:t>
      </w:r>
      <w:r>
        <w:rPr>
          <w:rFonts w:hint="eastAsia" w:ascii="仿宋" w:hAnsi="仿宋" w:eastAsia="仿宋" w:cs="仿宋"/>
          <w:spacing w:val="6"/>
          <w:sz w:val="30"/>
          <w:szCs w:val="30"/>
        </w:rPr>
        <w:t>未安排出国</w:t>
      </w:r>
      <w:r>
        <w:rPr>
          <w:rFonts w:hint="eastAsia" w:ascii="仿宋" w:hAnsi="仿宋" w:eastAsia="仿宋" w:cs="仿宋"/>
          <w:sz w:val="30"/>
          <w:szCs w:val="30"/>
        </w:rPr>
        <w:t>。</w:t>
      </w:r>
    </w:p>
    <w:p>
      <w:pPr>
        <w:spacing w:line="600" w:lineRule="exact"/>
        <w:ind w:firstLine="640"/>
        <w:rPr>
          <w:rFonts w:hint="eastAsia" w:ascii="仿宋" w:hAnsi="仿宋" w:eastAsia="仿宋" w:cs="仿宋"/>
          <w:b/>
          <w:sz w:val="30"/>
          <w:szCs w:val="30"/>
        </w:rPr>
      </w:pPr>
      <w:r>
        <w:rPr>
          <w:rFonts w:hint="eastAsia" w:ascii="仿宋" w:hAnsi="仿宋" w:eastAsia="仿宋" w:cs="仿宋"/>
          <w:b/>
          <w:sz w:val="30"/>
          <w:szCs w:val="30"/>
        </w:rPr>
        <w:t>2.公务用车购置及运行维护费支出</w:t>
      </w:r>
      <w:r>
        <w:rPr>
          <w:rFonts w:hint="eastAsia" w:ascii="仿宋" w:hAnsi="仿宋" w:eastAsia="仿宋" w:cs="仿宋"/>
          <w:sz w:val="30"/>
          <w:szCs w:val="30"/>
          <w:lang w:val="en-US" w:eastAsia="zh-CN"/>
        </w:rPr>
        <w:t>65.33</w:t>
      </w:r>
      <w:r>
        <w:rPr>
          <w:rFonts w:hint="eastAsia" w:ascii="仿宋" w:hAnsi="仿宋" w:eastAsia="仿宋" w:cs="仿宋"/>
          <w:sz w:val="30"/>
          <w:szCs w:val="30"/>
        </w:rPr>
        <w:t>万元,</w:t>
      </w:r>
      <w:r>
        <w:rPr>
          <w:rStyle w:val="14"/>
          <w:rFonts w:hint="eastAsia" w:ascii="仿宋" w:hAnsi="仿宋" w:eastAsia="仿宋" w:cs="仿宋"/>
          <w:b w:val="0"/>
          <w:bCs/>
          <w:sz w:val="30"/>
          <w:szCs w:val="30"/>
        </w:rPr>
        <w:t>完成预算</w:t>
      </w:r>
      <w:r>
        <w:rPr>
          <w:rStyle w:val="14"/>
          <w:rFonts w:hint="eastAsia" w:ascii="仿宋" w:hAnsi="仿宋" w:eastAsia="仿宋" w:cs="仿宋"/>
          <w:b w:val="0"/>
          <w:bCs/>
          <w:sz w:val="30"/>
          <w:szCs w:val="30"/>
          <w:lang w:val="en-US" w:eastAsia="zh-CN"/>
        </w:rPr>
        <w:t>98.98</w:t>
      </w:r>
      <w:r>
        <w:rPr>
          <w:rStyle w:val="14"/>
          <w:rFonts w:hint="eastAsia" w:ascii="仿宋" w:hAnsi="仿宋" w:eastAsia="仿宋" w:cs="仿宋"/>
          <w:b w:val="0"/>
          <w:bCs/>
          <w:sz w:val="30"/>
          <w:szCs w:val="30"/>
        </w:rPr>
        <w:t>%。</w:t>
      </w:r>
      <w:r>
        <w:rPr>
          <w:rFonts w:hint="eastAsia" w:ascii="仿宋" w:hAnsi="仿宋" w:eastAsia="仿宋" w:cs="仿宋"/>
          <w:sz w:val="30"/>
          <w:szCs w:val="30"/>
        </w:rPr>
        <w:t>公务用车购置及运行维护费支出决算比2021年增加</w:t>
      </w:r>
      <w:r>
        <w:rPr>
          <w:rFonts w:hint="eastAsia" w:ascii="仿宋" w:hAnsi="仿宋" w:eastAsia="仿宋" w:cs="仿宋"/>
          <w:sz w:val="30"/>
          <w:szCs w:val="30"/>
          <w:lang w:val="en-US" w:eastAsia="zh-CN"/>
        </w:rPr>
        <w:t>1.39</w:t>
      </w:r>
      <w:r>
        <w:rPr>
          <w:rFonts w:hint="eastAsia" w:ascii="仿宋" w:hAnsi="仿宋" w:eastAsia="仿宋" w:cs="仿宋"/>
          <w:sz w:val="30"/>
          <w:szCs w:val="30"/>
        </w:rPr>
        <w:t>万元，增长</w:t>
      </w:r>
      <w:r>
        <w:rPr>
          <w:rFonts w:hint="eastAsia" w:ascii="仿宋" w:hAnsi="仿宋" w:eastAsia="仿宋" w:cs="仿宋"/>
          <w:sz w:val="30"/>
          <w:szCs w:val="30"/>
          <w:lang w:val="en-US" w:eastAsia="zh-CN"/>
        </w:rPr>
        <w:t>2.17</w:t>
      </w:r>
      <w:r>
        <w:rPr>
          <w:rFonts w:hint="eastAsia" w:ascii="仿宋" w:hAnsi="仿宋" w:eastAsia="仿宋" w:cs="仿宋"/>
          <w:sz w:val="30"/>
          <w:szCs w:val="30"/>
        </w:rPr>
        <w:t>%。主要原因是</w:t>
      </w:r>
      <w:r>
        <w:rPr>
          <w:rFonts w:hint="eastAsia" w:ascii="仿宋" w:hAnsi="仿宋" w:eastAsia="仿宋" w:cs="仿宋"/>
          <w:sz w:val="30"/>
          <w:szCs w:val="30"/>
          <w:lang w:val="en-US" w:eastAsia="zh-CN"/>
        </w:rPr>
        <w:t>公务车使用频率上升</w:t>
      </w:r>
      <w:r>
        <w:rPr>
          <w:rFonts w:hint="eastAsia" w:ascii="仿宋" w:hAnsi="仿宋" w:eastAsia="仿宋" w:cs="仿宋"/>
          <w:sz w:val="30"/>
          <w:szCs w:val="30"/>
        </w:rPr>
        <w:t>。</w:t>
      </w:r>
    </w:p>
    <w:p>
      <w:pPr>
        <w:spacing w:line="600" w:lineRule="exact"/>
        <w:ind w:firstLine="600" w:firstLineChars="200"/>
        <w:rPr>
          <w:rFonts w:hint="eastAsia" w:ascii="仿宋" w:hAnsi="仿宋" w:eastAsia="仿宋" w:cs="仿宋"/>
          <w:b/>
          <w:sz w:val="30"/>
          <w:szCs w:val="30"/>
        </w:rPr>
      </w:pPr>
      <w:r>
        <w:rPr>
          <w:rFonts w:hint="eastAsia" w:ascii="仿宋" w:hAnsi="仿宋" w:eastAsia="仿宋" w:cs="仿宋"/>
          <w:sz w:val="30"/>
          <w:szCs w:val="30"/>
        </w:rPr>
        <w:t>其中：</w:t>
      </w:r>
      <w:r>
        <w:rPr>
          <w:rFonts w:hint="eastAsia" w:ascii="仿宋" w:hAnsi="仿宋" w:eastAsia="仿宋" w:cs="仿宋"/>
          <w:b/>
          <w:sz w:val="30"/>
          <w:szCs w:val="30"/>
        </w:rPr>
        <w:t>公务用车购置支出</w:t>
      </w:r>
      <w:r>
        <w:rPr>
          <w:rFonts w:hint="eastAsia" w:ascii="仿宋" w:hAnsi="仿宋" w:eastAsia="仿宋" w:cs="仿宋"/>
          <w:sz w:val="30"/>
          <w:szCs w:val="30"/>
          <w:lang w:val="en-US" w:eastAsia="zh-CN"/>
        </w:rPr>
        <w:t>0</w:t>
      </w:r>
      <w:r>
        <w:rPr>
          <w:rFonts w:hint="eastAsia" w:ascii="仿宋" w:hAnsi="仿宋" w:eastAsia="仿宋" w:cs="仿宋"/>
          <w:sz w:val="30"/>
          <w:szCs w:val="30"/>
        </w:rPr>
        <w:t>万元。全年按规定更新购置公务用车</w:t>
      </w:r>
      <w:r>
        <w:rPr>
          <w:rFonts w:hint="eastAsia" w:ascii="仿宋" w:hAnsi="仿宋" w:eastAsia="仿宋" w:cs="仿宋"/>
          <w:sz w:val="30"/>
          <w:szCs w:val="30"/>
          <w:lang w:val="en-US" w:eastAsia="zh-CN"/>
        </w:rPr>
        <w:t>0</w:t>
      </w:r>
      <w:r>
        <w:rPr>
          <w:rFonts w:hint="eastAsia" w:ascii="仿宋" w:hAnsi="仿宋" w:eastAsia="仿宋" w:cs="仿宋"/>
          <w:sz w:val="30"/>
          <w:szCs w:val="30"/>
        </w:rPr>
        <w:t>辆，其中：轿车</w:t>
      </w:r>
      <w:r>
        <w:rPr>
          <w:rFonts w:hint="eastAsia" w:ascii="仿宋" w:hAnsi="仿宋" w:eastAsia="仿宋" w:cs="仿宋"/>
          <w:sz w:val="30"/>
          <w:szCs w:val="30"/>
          <w:lang w:val="en-US" w:eastAsia="zh-CN"/>
        </w:rPr>
        <w:t>0</w:t>
      </w:r>
      <w:r>
        <w:rPr>
          <w:rFonts w:hint="eastAsia" w:ascii="仿宋" w:hAnsi="仿宋" w:eastAsia="仿宋" w:cs="仿宋"/>
          <w:sz w:val="30"/>
          <w:szCs w:val="30"/>
        </w:rPr>
        <w:t>辆、金额</w:t>
      </w:r>
      <w:r>
        <w:rPr>
          <w:rFonts w:hint="eastAsia" w:ascii="仿宋" w:hAnsi="仿宋" w:eastAsia="仿宋" w:cs="仿宋"/>
          <w:sz w:val="30"/>
          <w:szCs w:val="30"/>
          <w:lang w:val="en-US" w:eastAsia="zh-CN"/>
        </w:rPr>
        <w:t>0</w:t>
      </w:r>
      <w:r>
        <w:rPr>
          <w:rFonts w:hint="eastAsia" w:ascii="仿宋" w:hAnsi="仿宋" w:eastAsia="仿宋" w:cs="仿宋"/>
          <w:sz w:val="30"/>
          <w:szCs w:val="30"/>
        </w:rPr>
        <w:t>万元，越野车</w:t>
      </w:r>
      <w:r>
        <w:rPr>
          <w:rFonts w:hint="eastAsia" w:ascii="仿宋" w:hAnsi="仿宋" w:eastAsia="仿宋" w:cs="仿宋"/>
          <w:sz w:val="30"/>
          <w:szCs w:val="30"/>
          <w:lang w:val="en-US" w:eastAsia="zh-CN"/>
        </w:rPr>
        <w:t>0</w:t>
      </w:r>
      <w:r>
        <w:rPr>
          <w:rFonts w:hint="eastAsia" w:ascii="仿宋" w:hAnsi="仿宋" w:eastAsia="仿宋" w:cs="仿宋"/>
          <w:sz w:val="30"/>
          <w:szCs w:val="30"/>
        </w:rPr>
        <w:t>辆、金额</w:t>
      </w:r>
      <w:r>
        <w:rPr>
          <w:rFonts w:hint="eastAsia" w:ascii="仿宋" w:hAnsi="仿宋" w:eastAsia="仿宋" w:cs="仿宋"/>
          <w:sz w:val="30"/>
          <w:szCs w:val="30"/>
          <w:lang w:val="en-US" w:eastAsia="zh-CN"/>
        </w:rPr>
        <w:t>0</w:t>
      </w:r>
      <w:r>
        <w:rPr>
          <w:rFonts w:hint="eastAsia" w:ascii="仿宋" w:hAnsi="仿宋" w:eastAsia="仿宋" w:cs="仿宋"/>
          <w:sz w:val="30"/>
          <w:szCs w:val="30"/>
        </w:rPr>
        <w:t>万元，载客汽车</w:t>
      </w:r>
      <w:r>
        <w:rPr>
          <w:rFonts w:hint="eastAsia" w:ascii="仿宋" w:hAnsi="仿宋" w:eastAsia="仿宋" w:cs="仿宋"/>
          <w:sz w:val="30"/>
          <w:szCs w:val="30"/>
          <w:lang w:val="en-US" w:eastAsia="zh-CN"/>
        </w:rPr>
        <w:t>0</w:t>
      </w:r>
      <w:r>
        <w:rPr>
          <w:rFonts w:hint="eastAsia" w:ascii="仿宋" w:hAnsi="仿宋" w:eastAsia="仿宋" w:cs="仿宋"/>
          <w:sz w:val="30"/>
          <w:szCs w:val="30"/>
        </w:rPr>
        <w:t>辆、金额</w:t>
      </w:r>
      <w:r>
        <w:rPr>
          <w:rFonts w:hint="eastAsia" w:ascii="仿宋" w:hAnsi="仿宋" w:eastAsia="仿宋" w:cs="仿宋"/>
          <w:sz w:val="30"/>
          <w:szCs w:val="30"/>
          <w:lang w:val="en-US" w:eastAsia="zh-CN"/>
        </w:rPr>
        <w:t>0</w:t>
      </w:r>
      <w:r>
        <w:rPr>
          <w:rFonts w:hint="eastAsia" w:ascii="仿宋" w:hAnsi="仿宋" w:eastAsia="仿宋" w:cs="仿宋"/>
          <w:sz w:val="30"/>
          <w:szCs w:val="30"/>
        </w:rPr>
        <w:t>万元。截至2022年12月底，单位共有公务用车</w:t>
      </w:r>
      <w:r>
        <w:rPr>
          <w:rFonts w:hint="eastAsia" w:ascii="仿宋" w:hAnsi="仿宋" w:eastAsia="仿宋" w:cs="仿宋"/>
          <w:sz w:val="30"/>
          <w:szCs w:val="30"/>
          <w:lang w:val="en-US" w:eastAsia="zh-CN"/>
        </w:rPr>
        <w:t>15</w:t>
      </w:r>
      <w:r>
        <w:rPr>
          <w:rFonts w:hint="eastAsia" w:ascii="仿宋" w:hAnsi="仿宋" w:eastAsia="仿宋" w:cs="仿宋"/>
          <w:sz w:val="30"/>
          <w:szCs w:val="30"/>
        </w:rPr>
        <w:t>辆，其中：轿车</w:t>
      </w:r>
      <w:r>
        <w:rPr>
          <w:rFonts w:hint="eastAsia" w:ascii="仿宋" w:hAnsi="仿宋" w:eastAsia="仿宋" w:cs="仿宋"/>
          <w:sz w:val="30"/>
          <w:szCs w:val="30"/>
          <w:lang w:val="en-US" w:eastAsia="zh-CN"/>
        </w:rPr>
        <w:t>4</w:t>
      </w:r>
      <w:r>
        <w:rPr>
          <w:rFonts w:hint="eastAsia" w:ascii="仿宋" w:hAnsi="仿宋" w:eastAsia="仿宋" w:cs="仿宋"/>
          <w:sz w:val="30"/>
          <w:szCs w:val="30"/>
        </w:rPr>
        <w:t>辆、越野车</w:t>
      </w:r>
      <w:r>
        <w:rPr>
          <w:rFonts w:hint="eastAsia" w:ascii="仿宋" w:hAnsi="仿宋" w:eastAsia="仿宋" w:cs="仿宋"/>
          <w:sz w:val="30"/>
          <w:szCs w:val="30"/>
          <w:lang w:val="en-US" w:eastAsia="zh-CN"/>
        </w:rPr>
        <w:t>4</w:t>
      </w:r>
      <w:r>
        <w:rPr>
          <w:rFonts w:hint="eastAsia" w:ascii="仿宋" w:hAnsi="仿宋" w:eastAsia="仿宋" w:cs="仿宋"/>
          <w:sz w:val="30"/>
          <w:szCs w:val="30"/>
        </w:rPr>
        <w:t>辆、载客汽车</w:t>
      </w:r>
      <w:r>
        <w:rPr>
          <w:rFonts w:hint="eastAsia" w:ascii="仿宋" w:hAnsi="仿宋" w:eastAsia="仿宋" w:cs="仿宋"/>
          <w:sz w:val="30"/>
          <w:szCs w:val="30"/>
          <w:lang w:val="en-US" w:eastAsia="zh-CN"/>
        </w:rPr>
        <w:t>7</w:t>
      </w:r>
      <w:r>
        <w:rPr>
          <w:rFonts w:hint="eastAsia" w:ascii="仿宋" w:hAnsi="仿宋" w:eastAsia="仿宋" w:cs="仿宋"/>
          <w:sz w:val="30"/>
          <w:szCs w:val="30"/>
        </w:rPr>
        <w:t>辆。</w:t>
      </w:r>
    </w:p>
    <w:p>
      <w:pPr>
        <w:spacing w:before="216" w:line="357" w:lineRule="auto"/>
        <w:ind w:left="48" w:right="87" w:firstLine="633"/>
        <w:rPr>
          <w:rFonts w:hint="eastAsia" w:ascii="仿宋" w:hAnsi="仿宋" w:eastAsia="仿宋" w:cs="仿宋"/>
          <w:sz w:val="30"/>
          <w:szCs w:val="30"/>
        </w:rPr>
      </w:pPr>
      <w:r>
        <w:rPr>
          <w:rFonts w:hint="eastAsia" w:ascii="仿宋" w:hAnsi="仿宋" w:eastAsia="仿宋" w:cs="仿宋"/>
          <w:b/>
          <w:sz w:val="30"/>
          <w:szCs w:val="30"/>
        </w:rPr>
        <w:t>公务用车运行维护费支出</w:t>
      </w:r>
      <w:r>
        <w:rPr>
          <w:rFonts w:hint="eastAsia" w:ascii="仿宋" w:hAnsi="仿宋" w:eastAsia="仿宋" w:cs="仿宋"/>
          <w:sz w:val="30"/>
          <w:szCs w:val="30"/>
          <w:lang w:val="en-US" w:eastAsia="zh-CN"/>
        </w:rPr>
        <w:t>65.33</w:t>
      </w:r>
      <w:r>
        <w:rPr>
          <w:rFonts w:hint="eastAsia" w:ascii="仿宋" w:hAnsi="仿宋" w:eastAsia="仿宋" w:cs="仿宋"/>
          <w:sz w:val="30"/>
          <w:szCs w:val="30"/>
        </w:rPr>
        <w:t>万元。主要用于</w:t>
      </w:r>
      <w:r>
        <w:rPr>
          <w:rFonts w:hint="eastAsia" w:ascii="仿宋" w:hAnsi="仿宋" w:eastAsia="仿宋" w:cs="仿宋"/>
          <w:spacing w:val="6"/>
          <w:sz w:val="30"/>
          <w:szCs w:val="30"/>
        </w:rPr>
        <w:t>学</w:t>
      </w:r>
      <w:r>
        <w:rPr>
          <w:rFonts w:hint="eastAsia" w:ascii="仿宋" w:hAnsi="仿宋" w:eastAsia="仿宋" w:cs="仿宋"/>
          <w:spacing w:val="5"/>
          <w:sz w:val="30"/>
          <w:szCs w:val="30"/>
        </w:rPr>
        <w:t>校教</w:t>
      </w:r>
      <w:r>
        <w:rPr>
          <w:rFonts w:hint="eastAsia" w:ascii="仿宋" w:hAnsi="仿宋" w:eastAsia="仿宋" w:cs="仿宋"/>
          <w:spacing w:val="8"/>
          <w:sz w:val="30"/>
          <w:szCs w:val="30"/>
        </w:rPr>
        <w:t>学、科研、学生活动等所需的公务用车燃料费、维修费、过</w:t>
      </w:r>
      <w:r>
        <w:rPr>
          <w:rFonts w:hint="eastAsia" w:ascii="仿宋" w:hAnsi="仿宋" w:eastAsia="仿宋" w:cs="仿宋"/>
          <w:spacing w:val="7"/>
          <w:sz w:val="30"/>
          <w:szCs w:val="30"/>
        </w:rPr>
        <w:t>路过桥费、保险费等支出</w:t>
      </w:r>
      <w:r>
        <w:rPr>
          <w:rFonts w:hint="eastAsia" w:ascii="仿宋" w:hAnsi="仿宋" w:eastAsia="仿宋" w:cs="仿宋"/>
          <w:sz w:val="30"/>
          <w:szCs w:val="30"/>
        </w:rPr>
        <w:t>。</w:t>
      </w:r>
    </w:p>
    <w:p>
      <w:pPr>
        <w:spacing w:line="600" w:lineRule="exact"/>
        <w:ind w:firstLine="640"/>
        <w:rPr>
          <w:rFonts w:hint="eastAsia" w:ascii="仿宋" w:hAnsi="仿宋" w:eastAsia="仿宋" w:cs="仿宋"/>
          <w:sz w:val="30"/>
          <w:szCs w:val="30"/>
        </w:rPr>
      </w:pPr>
      <w:r>
        <w:rPr>
          <w:rFonts w:hint="eastAsia" w:ascii="仿宋" w:hAnsi="仿宋" w:eastAsia="仿宋" w:cs="仿宋"/>
          <w:b/>
          <w:sz w:val="30"/>
          <w:szCs w:val="30"/>
        </w:rPr>
        <w:t>3.公务接待费支出</w:t>
      </w:r>
      <w:r>
        <w:rPr>
          <w:rFonts w:hint="eastAsia" w:ascii="仿宋" w:hAnsi="仿宋" w:eastAsia="仿宋" w:cs="仿宋"/>
          <w:sz w:val="30"/>
          <w:szCs w:val="30"/>
          <w:lang w:val="en-US" w:eastAsia="zh-CN"/>
        </w:rPr>
        <w:t>6.91</w:t>
      </w:r>
      <w:r>
        <w:rPr>
          <w:rFonts w:hint="eastAsia" w:ascii="仿宋" w:hAnsi="仿宋" w:eastAsia="仿宋" w:cs="仿宋"/>
          <w:sz w:val="30"/>
          <w:szCs w:val="30"/>
        </w:rPr>
        <w:t>万元，</w:t>
      </w:r>
      <w:r>
        <w:rPr>
          <w:rStyle w:val="14"/>
          <w:rFonts w:hint="eastAsia" w:ascii="仿宋" w:hAnsi="仿宋" w:eastAsia="仿宋" w:cs="仿宋"/>
          <w:b w:val="0"/>
          <w:bCs/>
          <w:sz w:val="30"/>
          <w:szCs w:val="30"/>
        </w:rPr>
        <w:t>完成预算</w:t>
      </w:r>
      <w:r>
        <w:rPr>
          <w:rStyle w:val="14"/>
          <w:rFonts w:hint="eastAsia" w:ascii="仿宋" w:hAnsi="仿宋" w:eastAsia="仿宋" w:cs="仿宋"/>
          <w:b w:val="0"/>
          <w:bCs/>
          <w:sz w:val="30"/>
          <w:szCs w:val="30"/>
          <w:lang w:val="en-US" w:eastAsia="zh-CN"/>
        </w:rPr>
        <w:t>50.81</w:t>
      </w:r>
      <w:r>
        <w:rPr>
          <w:rStyle w:val="14"/>
          <w:rFonts w:hint="eastAsia" w:ascii="仿宋" w:hAnsi="仿宋" w:eastAsia="仿宋" w:cs="仿宋"/>
          <w:b w:val="0"/>
          <w:bCs/>
          <w:sz w:val="30"/>
          <w:szCs w:val="30"/>
        </w:rPr>
        <w:t>%。</w:t>
      </w:r>
      <w:r>
        <w:rPr>
          <w:rFonts w:hint="eastAsia" w:ascii="仿宋" w:hAnsi="仿宋" w:eastAsia="仿宋" w:cs="仿宋"/>
          <w:sz w:val="30"/>
          <w:szCs w:val="30"/>
        </w:rPr>
        <w:t>公务接待费支出决算比2021年减少</w:t>
      </w:r>
      <w:r>
        <w:rPr>
          <w:rFonts w:hint="eastAsia" w:ascii="仿宋" w:hAnsi="仿宋" w:eastAsia="仿宋" w:cs="仿宋"/>
          <w:sz w:val="30"/>
          <w:szCs w:val="30"/>
          <w:lang w:val="en-US" w:eastAsia="zh-CN"/>
        </w:rPr>
        <w:t>0.82</w:t>
      </w:r>
      <w:r>
        <w:rPr>
          <w:rFonts w:hint="eastAsia" w:ascii="仿宋" w:hAnsi="仿宋" w:eastAsia="仿宋" w:cs="仿宋"/>
          <w:sz w:val="30"/>
          <w:szCs w:val="30"/>
        </w:rPr>
        <w:t>万元，下降</w:t>
      </w:r>
      <w:r>
        <w:rPr>
          <w:rFonts w:hint="eastAsia" w:ascii="仿宋" w:hAnsi="仿宋" w:eastAsia="仿宋" w:cs="仿宋"/>
          <w:sz w:val="30"/>
          <w:szCs w:val="30"/>
          <w:lang w:val="en-US" w:eastAsia="zh-CN"/>
        </w:rPr>
        <w:t>10.61</w:t>
      </w:r>
      <w:r>
        <w:rPr>
          <w:rFonts w:hint="eastAsia" w:ascii="仿宋" w:hAnsi="仿宋" w:eastAsia="仿宋" w:cs="仿宋"/>
          <w:sz w:val="30"/>
          <w:szCs w:val="30"/>
        </w:rPr>
        <w:t>%。主要原因是</w:t>
      </w:r>
      <w:r>
        <w:rPr>
          <w:rFonts w:hint="eastAsia" w:ascii="仿宋" w:hAnsi="仿宋" w:eastAsia="仿宋" w:cs="仿宋"/>
          <w:spacing w:val="7"/>
          <w:sz w:val="30"/>
          <w:szCs w:val="30"/>
        </w:rPr>
        <w:t>接待批次和人次</w:t>
      </w:r>
      <w:r>
        <w:rPr>
          <w:rFonts w:hint="eastAsia" w:ascii="仿宋" w:hAnsi="仿宋" w:eastAsia="仿宋" w:cs="仿宋"/>
          <w:spacing w:val="7"/>
          <w:sz w:val="30"/>
          <w:szCs w:val="30"/>
          <w:lang w:val="en-US" w:eastAsia="zh-CN"/>
        </w:rPr>
        <w:t>减少</w:t>
      </w:r>
      <w:r>
        <w:rPr>
          <w:rFonts w:hint="eastAsia" w:ascii="仿宋" w:hAnsi="仿宋" w:eastAsia="仿宋" w:cs="仿宋"/>
          <w:sz w:val="30"/>
          <w:szCs w:val="30"/>
        </w:rPr>
        <w:t>。其中：</w:t>
      </w:r>
    </w:p>
    <w:p>
      <w:pPr>
        <w:spacing w:line="600" w:lineRule="exact"/>
        <w:ind w:firstLine="640"/>
        <w:rPr>
          <w:rFonts w:hint="default" w:ascii="仿宋" w:hAnsi="仿宋" w:eastAsia="仿宋" w:cs="仿宋"/>
          <w:sz w:val="30"/>
          <w:szCs w:val="30"/>
          <w:lang w:val="en-US" w:eastAsia="zh-CN"/>
        </w:rPr>
      </w:pPr>
      <w:r>
        <w:rPr>
          <w:rFonts w:hint="eastAsia" w:ascii="仿宋" w:hAnsi="仿宋" w:eastAsia="仿宋" w:cs="仿宋"/>
          <w:b/>
          <w:sz w:val="30"/>
          <w:szCs w:val="30"/>
        </w:rPr>
        <w:t>国内公务接待支出</w:t>
      </w:r>
      <w:r>
        <w:rPr>
          <w:rFonts w:hint="eastAsia" w:ascii="仿宋" w:hAnsi="仿宋" w:eastAsia="仿宋" w:cs="仿宋"/>
          <w:sz w:val="30"/>
          <w:szCs w:val="30"/>
          <w:lang w:val="en-US" w:eastAsia="zh-CN"/>
        </w:rPr>
        <w:t>6.91</w:t>
      </w:r>
      <w:r>
        <w:rPr>
          <w:rFonts w:hint="eastAsia" w:ascii="仿宋" w:hAnsi="仿宋" w:eastAsia="仿宋" w:cs="仿宋"/>
          <w:sz w:val="30"/>
          <w:szCs w:val="30"/>
        </w:rPr>
        <w:t>万元，</w:t>
      </w:r>
      <w:r>
        <w:rPr>
          <w:rFonts w:ascii="仿宋" w:hAnsi="仿宋" w:eastAsia="仿宋" w:cs="仿宋"/>
          <w:spacing w:val="10"/>
          <w:sz w:val="31"/>
          <w:szCs w:val="31"/>
        </w:rPr>
        <w:t>主要用于学校教学、科</w:t>
      </w:r>
      <w:r>
        <w:rPr>
          <w:rFonts w:ascii="仿宋" w:hAnsi="仿宋" w:eastAsia="仿宋" w:cs="仿宋"/>
          <w:spacing w:val="8"/>
          <w:sz w:val="31"/>
          <w:szCs w:val="31"/>
        </w:rPr>
        <w:t>研、学生活动、服务地方等业务活动开支的住宿费、用餐费</w:t>
      </w:r>
      <w:r>
        <w:rPr>
          <w:rFonts w:ascii="仿宋" w:hAnsi="仿宋" w:eastAsia="仿宋" w:cs="仿宋"/>
          <w:spacing w:val="3"/>
          <w:sz w:val="31"/>
          <w:szCs w:val="31"/>
        </w:rPr>
        <w:t>等。</w:t>
      </w:r>
      <w:r>
        <w:rPr>
          <w:rFonts w:ascii="仿宋" w:hAnsi="仿宋" w:eastAsia="仿宋" w:cs="仿宋"/>
          <w:spacing w:val="-88"/>
          <w:sz w:val="31"/>
          <w:szCs w:val="31"/>
        </w:rPr>
        <w:t xml:space="preserve"> </w:t>
      </w:r>
      <w:r>
        <w:rPr>
          <w:rFonts w:hint="eastAsia" w:ascii="仿宋" w:hAnsi="仿宋" w:eastAsia="仿宋" w:cs="仿宋"/>
          <w:sz w:val="30"/>
          <w:szCs w:val="30"/>
        </w:rPr>
        <w:t>国内公务接待</w:t>
      </w:r>
      <w:r>
        <w:rPr>
          <w:rFonts w:hint="eastAsia" w:ascii="仿宋" w:hAnsi="仿宋" w:eastAsia="仿宋" w:cs="仿宋"/>
          <w:sz w:val="30"/>
          <w:szCs w:val="30"/>
          <w:lang w:val="en-US" w:eastAsia="zh-CN"/>
        </w:rPr>
        <w:t>56</w:t>
      </w:r>
      <w:r>
        <w:rPr>
          <w:rFonts w:hint="eastAsia" w:ascii="仿宋" w:hAnsi="仿宋" w:eastAsia="仿宋" w:cs="仿宋"/>
          <w:sz w:val="30"/>
          <w:szCs w:val="30"/>
        </w:rPr>
        <w:t>批次，</w:t>
      </w:r>
      <w:r>
        <w:rPr>
          <w:rFonts w:hint="eastAsia" w:ascii="仿宋" w:hAnsi="仿宋" w:eastAsia="仿宋" w:cs="仿宋"/>
          <w:sz w:val="30"/>
          <w:szCs w:val="30"/>
          <w:lang w:val="en-US" w:eastAsia="zh-CN"/>
        </w:rPr>
        <w:t>470</w:t>
      </w:r>
      <w:r>
        <w:rPr>
          <w:rFonts w:hint="eastAsia" w:ascii="仿宋" w:hAnsi="仿宋" w:eastAsia="仿宋" w:cs="仿宋"/>
          <w:sz w:val="30"/>
          <w:szCs w:val="30"/>
        </w:rPr>
        <w:t>人次（不包括陪同人员），共计支出</w:t>
      </w:r>
      <w:r>
        <w:rPr>
          <w:rFonts w:hint="eastAsia" w:ascii="仿宋" w:hAnsi="仿宋" w:eastAsia="仿宋" w:cs="仿宋"/>
          <w:sz w:val="30"/>
          <w:szCs w:val="30"/>
          <w:lang w:val="en-US" w:eastAsia="zh-CN"/>
        </w:rPr>
        <w:t>6.91</w:t>
      </w:r>
      <w:r>
        <w:rPr>
          <w:rFonts w:hint="eastAsia" w:ascii="仿宋" w:hAnsi="仿宋" w:eastAsia="仿宋" w:cs="仿宋"/>
          <w:sz w:val="30"/>
          <w:szCs w:val="30"/>
        </w:rPr>
        <w:t>万元，具体内容包括：接待西南民族大学教育学和心理学院同仁到我校教师教育学院专业建设交流</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金额730元</w:t>
      </w:r>
      <w:r>
        <w:rPr>
          <w:rFonts w:hint="eastAsia" w:ascii="仿宋" w:hAnsi="仿宋" w:eastAsia="仿宋" w:cs="仿宋"/>
          <w:sz w:val="30"/>
          <w:szCs w:val="30"/>
          <w:lang w:eastAsia="zh-CN"/>
        </w:rPr>
        <w:t>；接待省、州考试院进行高考改革方案座谈会</w:t>
      </w:r>
      <w:r>
        <w:rPr>
          <w:rFonts w:hint="eastAsia" w:ascii="仿宋" w:hAnsi="仿宋" w:eastAsia="仿宋" w:cs="仿宋"/>
          <w:sz w:val="30"/>
          <w:szCs w:val="30"/>
          <w:lang w:val="en-US" w:eastAsia="zh-CN"/>
        </w:rPr>
        <w:t>一行人员，金额1920元；接待警察学院办公室调研学习行政管理里运行工作，金额1785元；接待教育厅安全稳定信访处、科技研究生处检查学校开学工作，金额600元；接待成都农业科技职业学院风景园林学院到旅规学院交流和考察风景园林专业事宜，金额1523元；接待四川农业大学新农村发展研究院院长到校开展校地合作，金额1040元；接待四川师范大学文学院等专家到校师范专业认证，金额816元；接待四川省教育厅领导到校督查森林草原防灭火等工作，金额840元；接待绵阳农科院到校交流合作，金额427元；接待凉山州农业农村局等单位相关人员开展凉山州黑绵羊产业校县合作及及项目工作推进，金额1680元；接待农业农村部沼气科学研究所专家到校指导学科专业及硕士点建设事项洽谈，金额1200元；接待四川航天职业技术学院到校落实专升本相关事宜，金额720元；接待攀枝花市教育考务工作人员来昌送卷与参与考务工作，金额500元；接待西华师范大学到本校考察，金额1440元；接待四川省农业科学院农业资源与环境研究所等专家洋葱新品种鉴定，金额1000元；接待四川林草防灭火咨询管理有限公司、四川省森林草原防灭火教育实训基地参加本校非学历教育工作座谈会，金额490元；接待阿坝师范学院到校调研，金额1873元；接待省委教育工委开展民族教育工作调研，金额1080元；接待四川民族学院到校调研，金额2480元；接待22年夏季校园双选会来宾单位（天喜园林、天喜园艺、川威集团、绿茵景园），金额1400元；接待参加2022年西昌学院夏季招聘会企业代表，金额1200元；接待参加2022年5月20日西昌学院毕业生夏季校园双选会的四川万士邦环境科技有限公司等单位，金额1310元；接待省高校信息咨询与就业指导中心专家到校指导就业工作，金额720元；接待阿坝师范学院关于学生就业、现代农业设施考察调研工作，金额1408元；接待省教育厅高校国有资产管理调研小组实地调研工作，金额840元；接待四川省农科院加工研究所到校访问交流，金额960元；接待设备鉴定论证专家参加我校设备鉴定论证会议，金额718元；接待四川农业大学教务处到我校调研，金额706元；接待四川中烟工业公司一行到校落实四川中烟横向项目事宜，金额769元；接待无锡高新区紧缺人才实训学院洽谈共建校外实训基地合作相关事宜，金额840元；接待参加西昌学院2022届毕业生夏季校园双选会宏信证券西昌顺城街营业部等7家企业领导，金额2398元；接待四川诚壹信网络科技有限公司、四川石棉跨世纪幼儿园有限公司参加我校招聘，金额936元；接待喜德县鲁基乡中坝社区来校洽谈 校村合作事宜，金额1035元；接待成都信息工程大学到校交流学习与调研，金额1320元；接待四川省君泰然体育有限公司到校参加君22届毕业生夏季校园双选会，金额1700元；接待四川通威饲料有限公司等到校参加校园招聘，金额1367元；接待西南大学周林波教授到校指导晋级第六届中国志愿服务项目大赛，金额479元；接待楚雄师范学院到校交流，金额1560元；接待国家开放大学、四川开放大学到布拖县调研，金额1080元；接待内江师范学院考察交流，金额1689元；接待成都大学艺术学院到校交流专业建设、人才培养方案、地方服务经验、高质量就业，金额1080元；接待省农业农村厅、成都理工大学、西华大学、四川农业大学到校参加“中国凉山安宁河现代农业硅谷推介暨重点项目集中签约仪式，金额2893元；接待四川省教育厅2022年高校实验室安全现场检查组成员开展高校实验室安全现场检查，金额1080元；接待省级财政资金政策支出绩效评价小组现场开展省级财政资金政策支出绩效评价，金额900元；接待宁海县人社局到西昌学院开展校企合作座谈会并举办专场招聘会，金额3000元；接待四川农业大学就党建、人才培养、就业创业进行交流座谈，金额1200元；接待教育厅基建后勤处、四川省基建后产中心进行教育领域项目建设检查。金额960元；接待四川江铜稀土公司合作签约，金额900元；接待四川省教育厅教师培训项目问题整改情况专项调研，金额840元；接待广东顺德晶玻璃等五家单位到校参加双选会，金额2380元；接待双选会合作单位成都为一室内设计有限公司；富森装饰集团；今视影视文化传播公司工作用餐，金额720元；接待链家、青岑文化、康养、宏信证券等公司招聘单位工作人员线下专场招聘宣讲及面试，金额672元；接待上海交通大学徐兵一行到校访问、交流，金额1320元；接待上海交通大学徐兵一行到校访问、交流，金额1800元；接待省委宣讲团成员到校开展二十大精神宣讲，金额330元。</w:t>
      </w:r>
    </w:p>
    <w:p>
      <w:pPr>
        <w:spacing w:line="600" w:lineRule="exact"/>
        <w:ind w:firstLine="640"/>
        <w:rPr>
          <w:rFonts w:hint="eastAsia" w:ascii="仿宋" w:hAnsi="仿宋" w:eastAsia="仿宋" w:cs="仿宋"/>
          <w:sz w:val="30"/>
          <w:szCs w:val="30"/>
        </w:rPr>
      </w:pPr>
      <w:r>
        <w:rPr>
          <w:rFonts w:hint="eastAsia" w:ascii="仿宋" w:hAnsi="仿宋" w:eastAsia="仿宋" w:cs="仿宋"/>
          <w:b/>
          <w:sz w:val="30"/>
          <w:szCs w:val="30"/>
        </w:rPr>
        <w:t>外事接待支出</w:t>
      </w:r>
      <w:r>
        <w:rPr>
          <w:rFonts w:hint="eastAsia" w:ascii="仿宋" w:hAnsi="仿宋" w:eastAsia="仿宋" w:cs="仿宋"/>
          <w:sz w:val="30"/>
          <w:szCs w:val="30"/>
          <w:lang w:val="en-US" w:eastAsia="zh-CN"/>
        </w:rPr>
        <w:t>0</w:t>
      </w:r>
      <w:r>
        <w:rPr>
          <w:rFonts w:hint="eastAsia" w:ascii="仿宋" w:hAnsi="仿宋" w:eastAsia="仿宋" w:cs="仿宋"/>
          <w:sz w:val="30"/>
          <w:szCs w:val="30"/>
        </w:rPr>
        <w:t>万元，外事接待</w:t>
      </w:r>
      <w:r>
        <w:rPr>
          <w:rFonts w:hint="eastAsia" w:ascii="仿宋" w:hAnsi="仿宋" w:eastAsia="仿宋" w:cs="仿宋"/>
          <w:sz w:val="30"/>
          <w:szCs w:val="30"/>
          <w:lang w:val="en-US" w:eastAsia="zh-CN"/>
        </w:rPr>
        <w:t>0</w:t>
      </w:r>
      <w:r>
        <w:rPr>
          <w:rFonts w:hint="eastAsia" w:ascii="仿宋" w:hAnsi="仿宋" w:eastAsia="仿宋" w:cs="仿宋"/>
          <w:sz w:val="30"/>
          <w:szCs w:val="30"/>
        </w:rPr>
        <w:t>批次，</w:t>
      </w:r>
      <w:r>
        <w:rPr>
          <w:rFonts w:hint="eastAsia" w:ascii="仿宋" w:hAnsi="仿宋" w:eastAsia="仿宋" w:cs="仿宋"/>
          <w:sz w:val="30"/>
          <w:szCs w:val="30"/>
          <w:lang w:val="en-US" w:eastAsia="zh-CN"/>
        </w:rPr>
        <w:t>0</w:t>
      </w:r>
      <w:r>
        <w:rPr>
          <w:rFonts w:hint="eastAsia" w:ascii="仿宋" w:hAnsi="仿宋" w:eastAsia="仿宋" w:cs="仿宋"/>
          <w:sz w:val="30"/>
          <w:szCs w:val="30"/>
        </w:rPr>
        <w:t>人次（不包括陪同人员），共计支出</w:t>
      </w:r>
      <w:r>
        <w:rPr>
          <w:rFonts w:hint="eastAsia" w:ascii="仿宋" w:hAnsi="仿宋" w:eastAsia="仿宋" w:cs="仿宋"/>
          <w:sz w:val="30"/>
          <w:szCs w:val="30"/>
          <w:lang w:val="en-US" w:eastAsia="zh-CN"/>
        </w:rPr>
        <w:t>0</w:t>
      </w:r>
      <w:r>
        <w:rPr>
          <w:rFonts w:hint="eastAsia" w:ascii="仿宋" w:hAnsi="仿宋" w:eastAsia="仿宋" w:cs="仿宋"/>
          <w:sz w:val="30"/>
          <w:szCs w:val="30"/>
        </w:rPr>
        <w:t>万元。</w:t>
      </w:r>
    </w:p>
    <w:p>
      <w:pPr>
        <w:spacing w:line="600" w:lineRule="exact"/>
        <w:ind w:firstLine="640"/>
        <w:outlineLvl w:val="1"/>
        <w:rPr>
          <w:rFonts w:ascii="黑体" w:eastAsia="黑体"/>
          <w:sz w:val="32"/>
          <w:szCs w:val="32"/>
        </w:rPr>
      </w:pPr>
      <w:bookmarkStart w:id="55" w:name="_Toc15396610"/>
      <w:bookmarkStart w:id="56" w:name="_Toc15377218"/>
    </w:p>
    <w:p>
      <w:pPr>
        <w:spacing w:line="600" w:lineRule="exact"/>
        <w:ind w:firstLine="640"/>
        <w:outlineLvl w:val="1"/>
        <w:rPr>
          <w:rStyle w:val="25"/>
          <w:rFonts w:ascii="黑体" w:hAnsi="黑体" w:eastAsia="黑体"/>
        </w:rPr>
      </w:pPr>
      <w:bookmarkStart w:id="57" w:name="_Toc3077"/>
      <w:r>
        <w:rPr>
          <w:rFonts w:hint="eastAsia" w:ascii="黑体" w:eastAsia="黑体"/>
          <w:sz w:val="32"/>
          <w:szCs w:val="32"/>
        </w:rPr>
        <w:t>八、</w:t>
      </w:r>
      <w:r>
        <w:rPr>
          <w:rStyle w:val="25"/>
          <w:rFonts w:hint="eastAsia" w:ascii="黑体" w:hAnsi="黑体" w:eastAsia="黑体"/>
          <w:b w:val="0"/>
        </w:rPr>
        <w:t>政府性基金预算支出决算情况说明</w:t>
      </w:r>
      <w:bookmarkEnd w:id="55"/>
      <w:bookmarkEnd w:id="56"/>
      <w:bookmarkEnd w:id="57"/>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2022年政府性基金预算财政拨款支出</w:t>
      </w:r>
      <w:r>
        <w:rPr>
          <w:rFonts w:hint="eastAsia" w:ascii="仿宋" w:hAnsi="仿宋" w:eastAsia="仿宋" w:cs="仿宋"/>
          <w:sz w:val="30"/>
          <w:szCs w:val="30"/>
          <w:lang w:val="en-US" w:eastAsia="zh-CN"/>
        </w:rPr>
        <w:t>0</w:t>
      </w:r>
      <w:r>
        <w:rPr>
          <w:rFonts w:hint="eastAsia" w:ascii="仿宋" w:hAnsi="仿宋" w:eastAsia="仿宋" w:cs="仿宋"/>
          <w:sz w:val="30"/>
          <w:szCs w:val="30"/>
        </w:rPr>
        <w:t>万元。</w:t>
      </w:r>
    </w:p>
    <w:p>
      <w:pPr>
        <w:spacing w:line="600" w:lineRule="exact"/>
        <w:ind w:firstLine="640"/>
        <w:rPr>
          <w:rFonts w:ascii="仿宋_GB2312" w:eastAsia="仿宋_GB2312"/>
          <w:sz w:val="32"/>
          <w:szCs w:val="32"/>
        </w:rPr>
      </w:pPr>
    </w:p>
    <w:p>
      <w:pPr>
        <w:numPr>
          <w:ilvl w:val="0"/>
          <w:numId w:val="4"/>
        </w:numPr>
        <w:spacing w:line="600" w:lineRule="exact"/>
        <w:ind w:firstLine="640"/>
        <w:outlineLvl w:val="1"/>
        <w:rPr>
          <w:rStyle w:val="25"/>
          <w:rFonts w:ascii="黑体" w:hAnsi="黑体" w:eastAsia="黑体"/>
          <w:b w:val="0"/>
        </w:rPr>
      </w:pPr>
      <w:bookmarkStart w:id="58" w:name="_Toc15396611"/>
      <w:bookmarkStart w:id="59" w:name="_Toc24035"/>
      <w:bookmarkStart w:id="60" w:name="_Toc15377219"/>
      <w:r>
        <w:rPr>
          <w:rStyle w:val="25"/>
          <w:rFonts w:hint="eastAsia" w:ascii="黑体" w:hAnsi="黑体" w:eastAsia="黑体"/>
          <w:b w:val="0"/>
        </w:rPr>
        <w:t>国有资本经营预算支出决算情况说明</w:t>
      </w:r>
      <w:bookmarkEnd w:id="58"/>
      <w:bookmarkEnd w:id="59"/>
      <w:bookmarkEnd w:id="60"/>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2022年国有资本经营预算财政拨款支出</w:t>
      </w:r>
      <w:r>
        <w:rPr>
          <w:rFonts w:hint="eastAsia" w:ascii="仿宋" w:hAnsi="仿宋" w:eastAsia="仿宋" w:cs="仿宋"/>
          <w:sz w:val="30"/>
          <w:szCs w:val="30"/>
          <w:lang w:val="en-US" w:eastAsia="zh-CN"/>
        </w:rPr>
        <w:t>0</w:t>
      </w:r>
      <w:r>
        <w:rPr>
          <w:rFonts w:hint="eastAsia" w:ascii="仿宋" w:hAnsi="仿宋" w:eastAsia="仿宋" w:cs="仿宋"/>
          <w:sz w:val="30"/>
          <w:szCs w:val="30"/>
        </w:rPr>
        <w:t>万元。</w:t>
      </w:r>
    </w:p>
    <w:p>
      <w:pPr>
        <w:spacing w:line="580" w:lineRule="exact"/>
        <w:jc w:val="center"/>
        <w:rPr>
          <w:rFonts w:ascii="方正小标宋简体" w:hAnsi="方正小标宋简体" w:eastAsia="方正小标宋简体" w:cs="方正小标宋简体"/>
          <w:sz w:val="44"/>
          <w:szCs w:val="44"/>
        </w:rPr>
      </w:pPr>
    </w:p>
    <w:p>
      <w:pPr>
        <w:numPr>
          <w:ilvl w:val="0"/>
          <w:numId w:val="4"/>
        </w:numPr>
        <w:spacing w:line="600" w:lineRule="exact"/>
        <w:ind w:firstLine="640"/>
        <w:outlineLvl w:val="1"/>
        <w:rPr>
          <w:rStyle w:val="25"/>
          <w:rFonts w:ascii="黑体" w:hAnsi="黑体" w:eastAsia="黑体"/>
          <w:b w:val="0"/>
        </w:rPr>
      </w:pPr>
      <w:bookmarkStart w:id="61" w:name="_Toc29604"/>
      <w:bookmarkStart w:id="62" w:name="_Toc15396612"/>
      <w:bookmarkStart w:id="63" w:name="_Toc15377221"/>
      <w:r>
        <w:rPr>
          <w:rStyle w:val="25"/>
          <w:rFonts w:hint="eastAsia" w:ascii="黑体" w:hAnsi="黑体" w:eastAsia="黑体"/>
          <w:b w:val="0"/>
        </w:rPr>
        <w:t>其他重要事项的情况说明</w:t>
      </w:r>
      <w:bookmarkEnd w:id="61"/>
      <w:bookmarkEnd w:id="62"/>
      <w:bookmarkEnd w:id="63"/>
    </w:p>
    <w:p>
      <w:pPr>
        <w:spacing w:line="600" w:lineRule="exact"/>
        <w:ind w:firstLine="640"/>
        <w:rPr>
          <w:rFonts w:hint="eastAsia" w:ascii="仿宋" w:hAnsi="仿宋" w:eastAsia="仿宋" w:cs="仿宋"/>
          <w:sz w:val="30"/>
          <w:szCs w:val="30"/>
        </w:rPr>
      </w:pPr>
      <w:bookmarkStart w:id="64" w:name="_Toc15377222"/>
      <w:r>
        <w:rPr>
          <w:rFonts w:hint="eastAsia" w:ascii="仿宋" w:hAnsi="仿宋" w:eastAsia="仿宋" w:cs="仿宋"/>
          <w:sz w:val="30"/>
          <w:szCs w:val="30"/>
        </w:rPr>
        <w:t>（一）机关运行经费支出情况</w:t>
      </w:r>
      <w:bookmarkEnd w:id="64"/>
    </w:p>
    <w:p>
      <w:pPr>
        <w:spacing w:line="600" w:lineRule="exact"/>
        <w:ind w:firstLine="640"/>
        <w:rPr>
          <w:rFonts w:hint="eastAsia" w:ascii="仿宋" w:hAnsi="仿宋" w:eastAsia="仿宋" w:cs="仿宋"/>
          <w:sz w:val="30"/>
          <w:szCs w:val="30"/>
          <w:lang w:eastAsia="zh-CN"/>
        </w:rPr>
      </w:pPr>
      <w:r>
        <w:rPr>
          <w:rFonts w:hint="eastAsia" w:ascii="仿宋" w:hAnsi="仿宋" w:eastAsia="仿宋" w:cs="仿宋"/>
          <w:sz w:val="30"/>
          <w:szCs w:val="30"/>
        </w:rPr>
        <w:t>2022年，</w:t>
      </w:r>
      <w:r>
        <w:rPr>
          <w:rFonts w:hint="eastAsia" w:ascii="仿宋" w:hAnsi="仿宋" w:eastAsia="仿宋" w:cs="仿宋"/>
          <w:sz w:val="30"/>
          <w:szCs w:val="30"/>
          <w:lang w:val="en-US" w:eastAsia="zh-CN"/>
        </w:rPr>
        <w:t>西昌学院</w:t>
      </w:r>
      <w:r>
        <w:rPr>
          <w:rFonts w:hint="eastAsia" w:ascii="仿宋" w:hAnsi="仿宋" w:eastAsia="仿宋" w:cs="仿宋"/>
          <w:sz w:val="30"/>
          <w:szCs w:val="30"/>
        </w:rPr>
        <w:t>机关运行经费支出</w:t>
      </w:r>
      <w:r>
        <w:rPr>
          <w:rFonts w:hint="eastAsia" w:ascii="仿宋" w:hAnsi="仿宋" w:eastAsia="仿宋" w:cs="仿宋"/>
          <w:sz w:val="30"/>
          <w:szCs w:val="30"/>
          <w:lang w:val="en-US" w:eastAsia="zh-CN"/>
        </w:rPr>
        <w:t>0</w:t>
      </w:r>
      <w:r>
        <w:rPr>
          <w:rFonts w:hint="eastAsia" w:ascii="仿宋" w:hAnsi="仿宋" w:eastAsia="仿宋" w:cs="仿宋"/>
          <w:sz w:val="30"/>
          <w:szCs w:val="30"/>
        </w:rPr>
        <w:t>万元，比2021年增加/减少</w:t>
      </w:r>
      <w:r>
        <w:rPr>
          <w:rFonts w:hint="eastAsia" w:ascii="仿宋" w:hAnsi="仿宋" w:eastAsia="仿宋" w:cs="仿宋"/>
          <w:sz w:val="30"/>
          <w:szCs w:val="30"/>
          <w:lang w:val="en-US" w:eastAsia="zh-CN"/>
        </w:rPr>
        <w:t>0</w:t>
      </w:r>
      <w:r>
        <w:rPr>
          <w:rFonts w:hint="eastAsia" w:ascii="仿宋" w:hAnsi="仿宋" w:eastAsia="仿宋" w:cs="仿宋"/>
          <w:sz w:val="30"/>
          <w:szCs w:val="30"/>
        </w:rPr>
        <w:t>万元，增长/下降</w:t>
      </w:r>
      <w:r>
        <w:rPr>
          <w:rFonts w:hint="eastAsia" w:ascii="仿宋" w:hAnsi="仿宋" w:eastAsia="仿宋" w:cs="仿宋"/>
          <w:sz w:val="30"/>
          <w:szCs w:val="30"/>
          <w:lang w:val="en-US" w:eastAsia="zh-CN"/>
        </w:rPr>
        <w:t>0</w:t>
      </w:r>
      <w:r>
        <w:rPr>
          <w:rFonts w:hint="eastAsia" w:ascii="仿宋" w:hAnsi="仿宋" w:eastAsia="仿宋" w:cs="仿宋"/>
          <w:sz w:val="30"/>
          <w:szCs w:val="30"/>
        </w:rPr>
        <w:t>%（或与2021年决算数持平）。</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（注：数据来源于财决附03表）</w:t>
      </w:r>
    </w:p>
    <w:p>
      <w:pPr>
        <w:spacing w:line="600" w:lineRule="exact"/>
        <w:ind w:firstLine="640"/>
        <w:rPr>
          <w:rFonts w:hint="eastAsia" w:ascii="仿宋" w:hAnsi="仿宋" w:eastAsia="仿宋" w:cs="仿宋"/>
          <w:sz w:val="30"/>
          <w:szCs w:val="30"/>
        </w:rPr>
      </w:pPr>
      <w:bookmarkStart w:id="65" w:name="_Toc15377223"/>
      <w:r>
        <w:rPr>
          <w:rFonts w:hint="eastAsia" w:ascii="仿宋" w:hAnsi="仿宋" w:eastAsia="仿宋" w:cs="仿宋"/>
          <w:sz w:val="30"/>
          <w:szCs w:val="30"/>
        </w:rPr>
        <w:t>（二）政府采购支出情况</w:t>
      </w:r>
      <w:bookmarkEnd w:id="65"/>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2022年，</w:t>
      </w:r>
      <w:r>
        <w:rPr>
          <w:rFonts w:hint="eastAsia" w:ascii="仿宋" w:hAnsi="仿宋" w:eastAsia="仿宋" w:cs="仿宋"/>
          <w:sz w:val="30"/>
          <w:szCs w:val="30"/>
          <w:lang w:val="en-US" w:eastAsia="zh-CN"/>
        </w:rPr>
        <w:t>西昌学院</w:t>
      </w:r>
      <w:r>
        <w:rPr>
          <w:rFonts w:hint="eastAsia" w:ascii="仿宋" w:hAnsi="仿宋" w:eastAsia="仿宋" w:cs="仿宋"/>
          <w:sz w:val="30"/>
          <w:szCs w:val="30"/>
        </w:rPr>
        <w:t>政府采购支出总额</w:t>
      </w:r>
      <w:r>
        <w:rPr>
          <w:rFonts w:hint="eastAsia" w:ascii="仿宋" w:hAnsi="仿宋" w:eastAsia="仿宋" w:cs="仿宋"/>
          <w:sz w:val="30"/>
          <w:szCs w:val="30"/>
          <w:lang w:val="en-US" w:eastAsia="zh-CN"/>
        </w:rPr>
        <w:t>4803.06</w:t>
      </w:r>
      <w:r>
        <w:rPr>
          <w:rFonts w:hint="eastAsia" w:ascii="仿宋" w:hAnsi="仿宋" w:eastAsia="仿宋" w:cs="仿宋"/>
          <w:sz w:val="30"/>
          <w:szCs w:val="30"/>
        </w:rPr>
        <w:t>万元，其中：政府采购货物支出</w:t>
      </w:r>
      <w:r>
        <w:rPr>
          <w:rFonts w:hint="eastAsia" w:ascii="仿宋" w:hAnsi="仿宋" w:eastAsia="仿宋" w:cs="仿宋"/>
          <w:sz w:val="30"/>
          <w:szCs w:val="30"/>
          <w:lang w:val="en-US" w:eastAsia="zh-CN"/>
        </w:rPr>
        <w:t>2777.12</w:t>
      </w:r>
      <w:r>
        <w:rPr>
          <w:rFonts w:hint="eastAsia" w:ascii="仿宋" w:hAnsi="仿宋" w:eastAsia="仿宋" w:cs="仿宋"/>
          <w:sz w:val="30"/>
          <w:szCs w:val="30"/>
        </w:rPr>
        <w:t>万元、政府采购工程支出</w:t>
      </w:r>
      <w:r>
        <w:rPr>
          <w:rFonts w:hint="eastAsia" w:ascii="仿宋" w:hAnsi="仿宋" w:eastAsia="仿宋" w:cs="仿宋"/>
          <w:sz w:val="30"/>
          <w:szCs w:val="30"/>
          <w:lang w:val="en-US" w:eastAsia="zh-CN"/>
        </w:rPr>
        <w:t>1090.26</w:t>
      </w:r>
      <w:r>
        <w:rPr>
          <w:rFonts w:hint="eastAsia" w:ascii="仿宋" w:hAnsi="仿宋" w:eastAsia="仿宋" w:cs="仿宋"/>
          <w:sz w:val="30"/>
          <w:szCs w:val="30"/>
        </w:rPr>
        <w:t>万元、政府采购服务支出</w:t>
      </w:r>
      <w:r>
        <w:rPr>
          <w:rFonts w:hint="eastAsia" w:ascii="仿宋" w:hAnsi="仿宋" w:eastAsia="仿宋" w:cs="仿宋"/>
          <w:sz w:val="30"/>
          <w:szCs w:val="30"/>
          <w:lang w:val="en-US" w:eastAsia="zh-CN"/>
        </w:rPr>
        <w:t>935.68</w:t>
      </w:r>
      <w:r>
        <w:rPr>
          <w:rFonts w:hint="eastAsia" w:ascii="仿宋" w:hAnsi="仿宋" w:eastAsia="仿宋" w:cs="仿宋"/>
          <w:sz w:val="30"/>
          <w:szCs w:val="30"/>
        </w:rPr>
        <w:t>万元。主要用于采购学校教学科研专用设备</w:t>
      </w:r>
      <w:r>
        <w:rPr>
          <w:rFonts w:hint="eastAsia" w:ascii="仿宋" w:hAnsi="仿宋" w:eastAsia="仿宋" w:cs="仿宋"/>
          <w:sz w:val="30"/>
          <w:szCs w:val="30"/>
          <w:lang w:eastAsia="zh-CN"/>
        </w:rPr>
        <w:t>、</w:t>
      </w:r>
      <w:r>
        <w:rPr>
          <w:rFonts w:hint="eastAsia" w:ascii="仿宋" w:hAnsi="仿宋" w:eastAsia="仿宋" w:cs="仿宋"/>
          <w:sz w:val="30"/>
          <w:szCs w:val="30"/>
        </w:rPr>
        <w:t>采购校内设施设备大型修缮工程、采购图书和电子资源、采购信息网络购建工程、采购校园物业管理等。授予中小企业合同金额</w:t>
      </w:r>
      <w:r>
        <w:rPr>
          <w:rFonts w:hint="eastAsia" w:ascii="仿宋" w:hAnsi="仿宋" w:eastAsia="仿宋" w:cs="仿宋"/>
          <w:sz w:val="30"/>
          <w:szCs w:val="30"/>
          <w:lang w:val="en-US" w:eastAsia="zh-CN"/>
        </w:rPr>
        <w:t>4372.74</w:t>
      </w:r>
      <w:r>
        <w:rPr>
          <w:rFonts w:hint="eastAsia" w:ascii="仿宋" w:hAnsi="仿宋" w:eastAsia="仿宋" w:cs="仿宋"/>
          <w:sz w:val="30"/>
          <w:szCs w:val="30"/>
        </w:rPr>
        <w:t xml:space="preserve">万元， 占政府采购支出总额的 </w:t>
      </w:r>
      <w:r>
        <w:rPr>
          <w:rFonts w:hint="eastAsia" w:ascii="仿宋" w:hAnsi="仿宋" w:eastAsia="仿宋" w:cs="仿宋"/>
          <w:sz w:val="30"/>
          <w:szCs w:val="30"/>
          <w:lang w:val="en-US" w:eastAsia="zh-CN"/>
        </w:rPr>
        <w:t>91.04</w:t>
      </w:r>
      <w:r>
        <w:rPr>
          <w:rFonts w:hint="eastAsia" w:ascii="仿宋" w:hAnsi="仿宋" w:eastAsia="仿宋" w:cs="仿宋"/>
          <w:sz w:val="30"/>
          <w:szCs w:val="30"/>
        </w:rPr>
        <w:t>%，其中：授予小微企业合同金额</w:t>
      </w:r>
      <w:r>
        <w:rPr>
          <w:rFonts w:hint="eastAsia" w:ascii="仿宋" w:hAnsi="仿宋" w:eastAsia="仿宋" w:cs="仿宋"/>
          <w:sz w:val="30"/>
          <w:szCs w:val="30"/>
          <w:lang w:val="en-US" w:eastAsia="zh-CN"/>
        </w:rPr>
        <w:t>2439.42</w:t>
      </w:r>
      <w:r>
        <w:rPr>
          <w:rFonts w:hint="eastAsia" w:ascii="仿宋" w:hAnsi="仿宋" w:eastAsia="仿宋" w:cs="仿宋"/>
          <w:sz w:val="30"/>
          <w:szCs w:val="30"/>
        </w:rPr>
        <w:t xml:space="preserve"> 万元，占政府采购支出总额的 </w:t>
      </w:r>
      <w:r>
        <w:rPr>
          <w:rFonts w:hint="eastAsia" w:ascii="仿宋" w:hAnsi="仿宋" w:eastAsia="仿宋" w:cs="仿宋"/>
          <w:sz w:val="30"/>
          <w:szCs w:val="30"/>
          <w:lang w:val="en-US" w:eastAsia="zh-CN"/>
        </w:rPr>
        <w:t>50.79</w:t>
      </w:r>
      <w:r>
        <w:rPr>
          <w:rFonts w:hint="eastAsia" w:ascii="仿宋" w:hAnsi="仿宋" w:eastAsia="仿宋" w:cs="仿宋"/>
          <w:sz w:val="30"/>
          <w:szCs w:val="30"/>
        </w:rPr>
        <w:t>%。</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（注：数据来源于财决附03表）</w:t>
      </w:r>
    </w:p>
    <w:p>
      <w:pPr>
        <w:spacing w:line="600" w:lineRule="exact"/>
        <w:ind w:firstLine="640"/>
        <w:rPr>
          <w:rFonts w:hint="eastAsia" w:ascii="仿宋" w:hAnsi="仿宋" w:eastAsia="仿宋" w:cs="仿宋"/>
          <w:sz w:val="30"/>
          <w:szCs w:val="30"/>
        </w:rPr>
      </w:pPr>
      <w:bookmarkStart w:id="66" w:name="_Toc15377224"/>
      <w:r>
        <w:rPr>
          <w:rFonts w:hint="eastAsia" w:ascii="仿宋" w:hAnsi="仿宋" w:eastAsia="仿宋" w:cs="仿宋"/>
          <w:sz w:val="30"/>
          <w:szCs w:val="30"/>
        </w:rPr>
        <w:t>（三）国有资产占有使用情况</w:t>
      </w:r>
      <w:bookmarkEnd w:id="66"/>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截至2022年12月31日，</w:t>
      </w:r>
      <w:r>
        <w:rPr>
          <w:rFonts w:hint="eastAsia" w:ascii="仿宋" w:hAnsi="仿宋" w:eastAsia="仿宋" w:cs="仿宋"/>
          <w:sz w:val="30"/>
          <w:szCs w:val="30"/>
          <w:lang w:val="en-US" w:eastAsia="zh-CN"/>
        </w:rPr>
        <w:t>西昌学院</w:t>
      </w:r>
      <w:r>
        <w:rPr>
          <w:rFonts w:hint="eastAsia" w:ascii="仿宋" w:hAnsi="仿宋" w:eastAsia="仿宋" w:cs="仿宋"/>
          <w:sz w:val="30"/>
          <w:szCs w:val="30"/>
        </w:rPr>
        <w:t>共有车辆</w:t>
      </w:r>
      <w:r>
        <w:rPr>
          <w:rFonts w:hint="eastAsia" w:ascii="仿宋" w:hAnsi="仿宋" w:eastAsia="仿宋" w:cs="仿宋"/>
          <w:sz w:val="30"/>
          <w:szCs w:val="30"/>
          <w:lang w:val="en-US" w:eastAsia="zh-CN"/>
        </w:rPr>
        <w:t>15</w:t>
      </w:r>
      <w:r>
        <w:rPr>
          <w:rFonts w:hint="eastAsia" w:ascii="仿宋" w:hAnsi="仿宋" w:eastAsia="仿宋" w:cs="仿宋"/>
          <w:sz w:val="30"/>
          <w:szCs w:val="30"/>
        </w:rPr>
        <w:t>辆，其中：主要领导干部用车</w:t>
      </w:r>
      <w:r>
        <w:rPr>
          <w:rFonts w:hint="eastAsia" w:ascii="仿宋" w:hAnsi="仿宋" w:eastAsia="仿宋" w:cs="仿宋"/>
          <w:sz w:val="30"/>
          <w:szCs w:val="30"/>
          <w:lang w:val="en-US" w:eastAsia="zh-CN"/>
        </w:rPr>
        <w:t>2</w:t>
      </w:r>
      <w:r>
        <w:rPr>
          <w:rFonts w:hint="eastAsia" w:ascii="仿宋" w:hAnsi="仿宋" w:eastAsia="仿宋" w:cs="仿宋"/>
          <w:sz w:val="30"/>
          <w:szCs w:val="30"/>
        </w:rPr>
        <w:t>辆、应急保障用车</w:t>
      </w:r>
      <w:r>
        <w:rPr>
          <w:rFonts w:hint="eastAsia" w:ascii="仿宋" w:hAnsi="仿宋" w:eastAsia="仿宋" w:cs="仿宋"/>
          <w:sz w:val="30"/>
          <w:szCs w:val="30"/>
          <w:lang w:val="en-US" w:eastAsia="zh-CN"/>
        </w:rPr>
        <w:t>2</w:t>
      </w:r>
      <w:r>
        <w:rPr>
          <w:rFonts w:hint="eastAsia" w:ascii="仿宋" w:hAnsi="仿宋" w:eastAsia="仿宋" w:cs="仿宋"/>
          <w:sz w:val="30"/>
          <w:szCs w:val="30"/>
        </w:rPr>
        <w:t>辆、其他用车</w:t>
      </w:r>
      <w:r>
        <w:rPr>
          <w:rFonts w:hint="eastAsia" w:ascii="仿宋" w:hAnsi="仿宋" w:eastAsia="仿宋" w:cs="仿宋"/>
          <w:sz w:val="30"/>
          <w:szCs w:val="30"/>
          <w:lang w:val="en-US" w:eastAsia="zh-CN"/>
        </w:rPr>
        <w:t>11</w:t>
      </w:r>
      <w:r>
        <w:rPr>
          <w:rFonts w:hint="eastAsia" w:ascii="仿宋" w:hAnsi="仿宋" w:eastAsia="仿宋" w:cs="仿宋"/>
          <w:sz w:val="30"/>
          <w:szCs w:val="30"/>
        </w:rPr>
        <w:t>辆，其他用车主要是用于学校教学、科研、学生活动等。单价50万元以上通用设备</w:t>
      </w:r>
      <w:r>
        <w:rPr>
          <w:rFonts w:hint="eastAsia" w:ascii="仿宋" w:hAnsi="仿宋" w:eastAsia="仿宋" w:cs="仿宋"/>
          <w:sz w:val="30"/>
          <w:szCs w:val="30"/>
          <w:lang w:val="en-US" w:eastAsia="zh-CN"/>
        </w:rPr>
        <w:t>16</w:t>
      </w:r>
      <w:r>
        <w:rPr>
          <w:rFonts w:hint="eastAsia" w:ascii="仿宋" w:hAnsi="仿宋" w:eastAsia="仿宋" w:cs="仿宋"/>
          <w:sz w:val="30"/>
          <w:szCs w:val="30"/>
        </w:rPr>
        <w:t>台（套），单价100万元以上专用设备</w:t>
      </w:r>
      <w:r>
        <w:rPr>
          <w:rFonts w:hint="eastAsia" w:ascii="仿宋" w:hAnsi="仿宋" w:eastAsia="仿宋" w:cs="仿宋"/>
          <w:sz w:val="30"/>
          <w:szCs w:val="30"/>
          <w:lang w:val="en-US" w:eastAsia="zh-CN"/>
        </w:rPr>
        <w:t>9</w:t>
      </w:r>
      <w:r>
        <w:rPr>
          <w:rFonts w:hint="eastAsia" w:ascii="仿宋" w:hAnsi="仿宋" w:eastAsia="仿宋" w:cs="仿宋"/>
          <w:sz w:val="30"/>
          <w:szCs w:val="30"/>
        </w:rPr>
        <w:t>台（套）。</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（注：数据来源于财决附03表，按单位决算报表填报数据罗列车辆情况。）</w:t>
      </w:r>
    </w:p>
    <w:p>
      <w:pPr>
        <w:spacing w:line="600" w:lineRule="exact"/>
        <w:ind w:firstLine="640"/>
        <w:rPr>
          <w:rFonts w:hint="eastAsia" w:ascii="仿宋" w:hAnsi="仿宋" w:eastAsia="仿宋" w:cs="仿宋"/>
          <w:sz w:val="30"/>
          <w:szCs w:val="30"/>
        </w:rPr>
        <w:sectPr>
          <w:footerReference r:id="rId4" w:type="default"/>
          <w:pgSz w:w="11906" w:h="16839"/>
          <w:pgMar w:top="1431" w:right="1711" w:bottom="1378" w:left="1785" w:header="0" w:footer="1212" w:gutter="0"/>
          <w:pgNumType w:fmt="decimal" w:start="1"/>
          <w:cols w:space="720" w:num="1"/>
        </w:sectPr>
      </w:pPr>
    </w:p>
    <w:p>
      <w:pPr>
        <w:autoSpaceDE w:val="0"/>
        <w:autoSpaceDN w:val="0"/>
        <w:adjustRightInd w:val="0"/>
        <w:spacing w:line="600" w:lineRule="exact"/>
        <w:ind w:firstLine="643" w:firstLineChars="200"/>
        <w:jc w:val="left"/>
        <w:outlineLvl w:val="2"/>
        <w:rPr>
          <w:rFonts w:ascii="仿宋" w:hAnsi="仿宋" w:eastAsia="仿宋"/>
          <w:b/>
          <w:sz w:val="32"/>
          <w:szCs w:val="32"/>
        </w:rPr>
      </w:pPr>
      <w:r>
        <w:rPr>
          <w:rFonts w:hint="eastAsia" w:ascii="仿宋" w:hAnsi="仿宋" w:eastAsia="仿宋"/>
          <w:b/>
          <w:sz w:val="32"/>
          <w:szCs w:val="32"/>
        </w:rPr>
        <w:t>（四）预算绩效管理情况</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根据预算绩效管理要求，本单位在2022年度预算编制阶段，组织对</w:t>
      </w:r>
      <w:r>
        <w:rPr>
          <w:rFonts w:hint="eastAsia" w:ascii="仿宋" w:hAnsi="仿宋" w:eastAsia="仿宋" w:cs="仿宋"/>
          <w:sz w:val="30"/>
          <w:szCs w:val="30"/>
          <w:lang w:val="en-US" w:eastAsia="zh-CN"/>
        </w:rPr>
        <w:t>设备购置、房屋建筑物购建、大型修缮等3个</w:t>
      </w:r>
      <w:r>
        <w:rPr>
          <w:rFonts w:hint="eastAsia" w:ascii="仿宋" w:hAnsi="仿宋" w:eastAsia="仿宋" w:cs="仿宋"/>
          <w:sz w:val="30"/>
          <w:szCs w:val="30"/>
        </w:rPr>
        <w:t>项目开展了预算事前绩效评估，对</w:t>
      </w:r>
      <w:r>
        <w:rPr>
          <w:rFonts w:hint="eastAsia" w:ascii="仿宋" w:hAnsi="仿宋" w:eastAsia="仿宋" w:cs="仿宋"/>
          <w:sz w:val="30"/>
          <w:szCs w:val="30"/>
          <w:lang w:val="en-US" w:eastAsia="zh-CN"/>
        </w:rPr>
        <w:t>32</w:t>
      </w:r>
      <w:r>
        <w:rPr>
          <w:rFonts w:hint="eastAsia" w:ascii="仿宋" w:hAnsi="仿宋" w:eastAsia="仿宋" w:cs="仿宋"/>
          <w:sz w:val="30"/>
          <w:szCs w:val="30"/>
        </w:rPr>
        <w:t>个项目编制了绩效目标，预算执行过程中，选取</w:t>
      </w:r>
      <w:r>
        <w:rPr>
          <w:rFonts w:hint="eastAsia" w:ascii="仿宋" w:hAnsi="仿宋" w:eastAsia="仿宋" w:cs="仿宋"/>
          <w:sz w:val="30"/>
          <w:szCs w:val="30"/>
          <w:lang w:val="en-US" w:eastAsia="zh-CN"/>
        </w:rPr>
        <w:t>32</w:t>
      </w:r>
      <w:r>
        <w:rPr>
          <w:rFonts w:hint="eastAsia" w:ascii="仿宋" w:hAnsi="仿宋" w:eastAsia="仿宋" w:cs="仿宋"/>
          <w:sz w:val="30"/>
          <w:szCs w:val="30"/>
        </w:rPr>
        <w:t>个项目开展绩效监控，组织对</w:t>
      </w:r>
      <w:r>
        <w:rPr>
          <w:rFonts w:hint="eastAsia" w:ascii="仿宋" w:hAnsi="仿宋" w:eastAsia="仿宋" w:cs="仿宋"/>
          <w:sz w:val="30"/>
          <w:szCs w:val="30"/>
          <w:lang w:val="en-US" w:eastAsia="zh-CN"/>
        </w:rPr>
        <w:t>32</w:t>
      </w:r>
      <w:r>
        <w:rPr>
          <w:rFonts w:hint="eastAsia" w:ascii="仿宋" w:hAnsi="仿宋" w:eastAsia="仿宋" w:cs="仿宋"/>
          <w:sz w:val="30"/>
          <w:szCs w:val="30"/>
        </w:rPr>
        <w:t>个项目开展绩效自评，绩效自评表详见第四部分附件。</w:t>
      </w:r>
    </w:p>
    <w:p>
      <w:pPr>
        <w:widowControl/>
        <w:jc w:val="left"/>
        <w:rPr>
          <w:rFonts w:ascii="仿宋_GB2312" w:eastAsia="仿宋_GB2312"/>
          <w:b/>
          <w:sz w:val="32"/>
          <w:szCs w:val="32"/>
        </w:rPr>
      </w:pPr>
      <w:r>
        <w:rPr>
          <w:rFonts w:ascii="仿宋_GB2312" w:eastAsia="仿宋_GB2312"/>
          <w:b/>
          <w:sz w:val="32"/>
          <w:szCs w:val="32"/>
        </w:rPr>
        <w:br w:type="page"/>
      </w:r>
    </w:p>
    <w:p>
      <w:pPr>
        <w:numPr>
          <w:ilvl w:val="0"/>
          <w:numId w:val="5"/>
        </w:numPr>
        <w:spacing w:line="600" w:lineRule="exact"/>
        <w:ind w:firstLine="660" w:firstLineChars="150"/>
        <w:jc w:val="center"/>
        <w:outlineLvl w:val="0"/>
        <w:rPr>
          <w:rStyle w:val="24"/>
          <w:rFonts w:ascii="黑体" w:hAnsi="黑体" w:eastAsia="黑体"/>
          <w:b w:val="0"/>
        </w:rPr>
      </w:pPr>
      <w:bookmarkStart w:id="67" w:name="_Toc15396613"/>
      <w:bookmarkStart w:id="68" w:name="_Toc10753"/>
      <w:bookmarkStart w:id="69" w:name="_Toc15377225"/>
      <w:r>
        <w:rPr>
          <w:rFonts w:hint="eastAsia" w:ascii="黑体" w:hAnsi="黑体" w:eastAsia="黑体"/>
          <w:sz w:val="44"/>
          <w:szCs w:val="44"/>
        </w:rPr>
        <w:t>名</w:t>
      </w:r>
      <w:r>
        <w:rPr>
          <w:rStyle w:val="24"/>
          <w:rFonts w:hint="eastAsia" w:ascii="黑体" w:hAnsi="黑体" w:eastAsia="黑体"/>
          <w:b w:val="0"/>
        </w:rPr>
        <w:t>词解释</w:t>
      </w:r>
      <w:bookmarkEnd w:id="67"/>
      <w:bookmarkEnd w:id="68"/>
      <w:bookmarkEnd w:id="69"/>
    </w:p>
    <w:p>
      <w:pPr>
        <w:spacing w:line="600" w:lineRule="exact"/>
        <w:jc w:val="left"/>
        <w:rPr>
          <w:rFonts w:ascii="宋体"/>
          <w:b/>
          <w:sz w:val="44"/>
          <w:szCs w:val="44"/>
        </w:rPr>
      </w:pP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1.财政拨款收入：指单位从同级财政部门取得的财政预算资金。</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2.事业收入：指事业单位开展专业业务活动及辅助活动取得的收入。如…（二级预算单位事业收入情况）等。</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3.经营收入：指事业单位在专业业务活动及其辅助活动之外开展非独立核算经营活动取得的收入。如…（二级预算单位经营收入情况）等。</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 xml:space="preserve">4.其他收入：指单位取得的除上述收入以外的各项收入。主要是…（收入类型）等。 </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 xml:space="preserve">5.使用非财政拨款结余：指事业单位使用以前年度积累的非财政拨款结余弥补当年收支差额的金额。 </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 xml:space="preserve">6.年初结转和结余：指以前年度尚未完成、结转到本年按有关规定继续使用的资金。 </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7.结余分配：指事业单位按照会计制度规定缴纳的所得税、提取的专用结余以及转入非财政拨款结余的金额等。</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8.年末结转和结余：指单位按有关规定结转到下年或以后年度继续使用的资金。</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9.一般公共服务（类）…（款）…（项）：指……。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10.外交（类）…（款）…（项）：指……。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11.公共安全（类）…（款）…（项）：指……。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12.教育（类）…（款）…（项）：指……。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13.科学技术（类）…（款）…（项）：指……。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14.文化旅游体育与传媒（类）…（款）…（项）：指……。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15.社会保障和就业（类）…（款）…（项）：指……。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16.卫生健康（类）…（款）…（项）：指……。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17.节能环保（类）…（款）…（项）：指……。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18.城乡社区（类）…（款）…（项）：指……。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19.农林水（类）…（款）…（项）：指……。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20.交通运输（类）…（款）…（项）：指……。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21.资源勘探工业信息等（类）…（款）…（项）：指……。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22.商业服务业（类）…（款）…（项）：指……。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23.金融（类）…（款）…（项）：指……。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24.自然资源海洋气象等（类）…（款）…（项）：指……。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25.住房保障（类）…（款）…（项）：指……。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26.粮油物资储备（类）…（款）…（项）：指……。</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（解释本单位决算报表中涉及的全部功能分类科目至项级，不涉及的科目请自行删除。请参照《2022年政府收支分类科目》增减内容。）</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27.基本支出：指为保障机构正常运转、完成日常工作任务而发生的人员支出和公用支出。</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 xml:space="preserve">28.项目支出：指在基本支出之外为完成特定行政任务和事业发展目标所发生的支出。 </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29.经营支出：指事业单位在专业业务活动及其辅助活动之外开展非独立核算经营活动发生的支出。</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30.“三公”经费：指单位用财政拨款安排的因公出国（境）费、公务用车购置及运行费和公务接待费。其中，因公出国（境）费反映单位公务出国（境）的国际旅费、国外城市间交通费、住宿费、伙食费、培训费、公杂费等支出；公务用车购置及运行费反映单位公务用车车辆购置支出（含车辆购置税）及租用费、燃料费、维修费、过路过桥费、保险费等支出；公务接待费反映单位按规定开支的各类公务接待（含外宾接待）支出。</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31.机关运行经费：为保障行政单位（含参照公务员法管理的事业单位）运行用于购买货物和服务的各项资金，包括办公及印刷费、邮电费、差旅费、会议费、福利费、日常维修费、专用材料及一般设备购置费、办公用房水电费、办公用房取暖费、办公用房物业管理费、公务用车运行维护费以及其他费用。</w:t>
      </w: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32.……。</w:t>
      </w:r>
    </w:p>
    <w:p>
      <w:pPr>
        <w:spacing w:line="600" w:lineRule="exact"/>
        <w:ind w:firstLine="640"/>
        <w:rPr>
          <w:rFonts w:hint="eastAsia" w:ascii="仿宋" w:hAnsi="仿宋" w:eastAsia="仿宋" w:cs="仿宋"/>
          <w:sz w:val="30"/>
          <w:szCs w:val="30"/>
        </w:rPr>
      </w:pPr>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（名词解释部分请根据各单位实际列支情况罗列，并根据本单位职责职能增减名词解释内容。）</w:t>
      </w:r>
    </w:p>
    <w:p>
      <w:pPr>
        <w:spacing w:line="600" w:lineRule="exact"/>
        <w:jc w:val="center"/>
        <w:outlineLvl w:val="0"/>
        <w:rPr>
          <w:rStyle w:val="24"/>
          <w:rFonts w:ascii="黑体" w:hAnsi="黑体" w:eastAsia="黑体"/>
          <w:b w:val="0"/>
        </w:rPr>
      </w:pPr>
      <w:bookmarkStart w:id="70" w:name="_Toc15377226"/>
      <w:r>
        <w:rPr>
          <w:rFonts w:ascii="宋体"/>
          <w:b/>
          <w:sz w:val="44"/>
          <w:szCs w:val="44"/>
        </w:rPr>
        <w:br w:type="page"/>
      </w:r>
      <w:bookmarkStart w:id="71" w:name="_Toc4859"/>
      <w:bookmarkStart w:id="72" w:name="_Toc15396614"/>
      <w:r>
        <w:rPr>
          <w:rFonts w:hint="eastAsia" w:ascii="黑体" w:hAnsi="黑体" w:eastAsia="黑体"/>
          <w:sz w:val="44"/>
          <w:szCs w:val="44"/>
        </w:rPr>
        <w:t>第</w:t>
      </w:r>
      <w:r>
        <w:rPr>
          <w:rStyle w:val="24"/>
          <w:rFonts w:hint="eastAsia" w:ascii="黑体" w:hAnsi="黑体" w:eastAsia="黑体"/>
          <w:b w:val="0"/>
        </w:rPr>
        <w:t>四部分 附件</w:t>
      </w:r>
      <w:bookmarkEnd w:id="71"/>
      <w:bookmarkEnd w:id="72"/>
    </w:p>
    <w:p>
      <w:pPr>
        <w:spacing w:line="572" w:lineRule="exact"/>
        <w:jc w:val="left"/>
        <w:outlineLvl w:val="9"/>
        <w:rPr>
          <w:rFonts w:ascii="仿宋_GB2312" w:hAnsi="仿宋_GB2312" w:eastAsia="仿宋_GB2312" w:cs="仿宋_GB2312"/>
          <w:sz w:val="32"/>
          <w:szCs w:val="32"/>
        </w:rPr>
      </w:pPr>
    </w:p>
    <w:p>
      <w:pPr>
        <w:spacing w:line="600" w:lineRule="exact"/>
        <w:jc w:val="center"/>
        <w:outlineLvl w:val="9"/>
        <w:rPr>
          <w:rFonts w:hint="eastAsia" w:ascii="宋体" w:hAnsi="宋体" w:cs="宋体"/>
          <w:kern w:val="0"/>
          <w:sz w:val="32"/>
          <w:szCs w:val="32"/>
        </w:rPr>
      </w:pPr>
      <w:bookmarkStart w:id="73" w:name="_Toc15396618"/>
      <w:r>
        <w:rPr>
          <w:rFonts w:hint="eastAsia" w:ascii="宋体" w:hAnsi="宋体" w:cs="宋体"/>
          <w:kern w:val="0"/>
          <w:sz w:val="32"/>
          <w:szCs w:val="32"/>
        </w:rPr>
        <w:t>部门预算项目支出绩效自评表（2022年度）</w:t>
      </w:r>
    </w:p>
    <w:p>
      <w:pPr>
        <w:rPr>
          <w:rFonts w:hint="eastAsia" w:eastAsiaTheme="minorEastAsia"/>
          <w:lang w:eastAsia="zh-CN"/>
        </w:rPr>
      </w:pPr>
      <w:r>
        <w:rPr>
          <w:rFonts w:hint="eastAsia" w:eastAsiaTheme="minorEastAsia"/>
          <w:lang w:eastAsia="zh-CN"/>
        </w:rPr>
        <w:drawing>
          <wp:inline distT="0" distB="0" distL="114300" distR="114300">
            <wp:extent cx="5271135" cy="7452360"/>
            <wp:effectExtent l="0" t="0" r="5715" b="15240"/>
            <wp:docPr id="31" name="图片 31" descr="组合 1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组合 1_页面_01"/>
                    <pic:cNvPicPr>
                      <a:picLocks noChangeAspect="1"/>
                    </pic:cNvPicPr>
                  </pic:nvPicPr>
                  <pic:blipFill>
                    <a:blip r:embed="rId15"/>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32" name="图片 32" descr="组合 1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组合 1_页面_16"/>
                    <pic:cNvPicPr>
                      <a:picLocks noChangeAspect="1"/>
                    </pic:cNvPicPr>
                  </pic:nvPicPr>
                  <pic:blipFill>
                    <a:blip r:embed="rId16"/>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33" name="图片 33" descr="组合 1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组合 1_页面_15"/>
                    <pic:cNvPicPr>
                      <a:picLocks noChangeAspect="1"/>
                    </pic:cNvPicPr>
                  </pic:nvPicPr>
                  <pic:blipFill>
                    <a:blip r:embed="rId17"/>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34" name="图片 34" descr="组合 1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组合 1_页面_14"/>
                    <pic:cNvPicPr>
                      <a:picLocks noChangeAspect="1"/>
                    </pic:cNvPicPr>
                  </pic:nvPicPr>
                  <pic:blipFill>
                    <a:blip r:embed="rId18"/>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35" name="图片 35" descr="组合 1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组合 1_页面_13"/>
                    <pic:cNvPicPr>
                      <a:picLocks noChangeAspect="1"/>
                    </pic:cNvPicPr>
                  </pic:nvPicPr>
                  <pic:blipFill>
                    <a:blip r:embed="rId19"/>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36" name="图片 36" descr="组合 1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组合 1_页面_12"/>
                    <pic:cNvPicPr>
                      <a:picLocks noChangeAspect="1"/>
                    </pic:cNvPicPr>
                  </pic:nvPicPr>
                  <pic:blipFill>
                    <a:blip r:embed="rId20"/>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37" name="图片 37" descr="组合 1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组合 1_页面_11"/>
                    <pic:cNvPicPr>
                      <a:picLocks noChangeAspect="1"/>
                    </pic:cNvPicPr>
                  </pic:nvPicPr>
                  <pic:blipFill>
                    <a:blip r:embed="rId21"/>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8" name="图片 8" descr="组合 1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组合 1_页面_10"/>
                    <pic:cNvPicPr>
                      <a:picLocks noChangeAspect="1"/>
                    </pic:cNvPicPr>
                  </pic:nvPicPr>
                  <pic:blipFill>
                    <a:blip r:embed="rId22"/>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9" name="图片 9" descr="组合 1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组合 1_页面_09"/>
                    <pic:cNvPicPr>
                      <a:picLocks noChangeAspect="1"/>
                    </pic:cNvPicPr>
                  </pic:nvPicPr>
                  <pic:blipFill>
                    <a:blip r:embed="rId23"/>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10" name="图片 10" descr="组合 1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组合 1_页面_08"/>
                    <pic:cNvPicPr>
                      <a:picLocks noChangeAspect="1"/>
                    </pic:cNvPicPr>
                  </pic:nvPicPr>
                  <pic:blipFill>
                    <a:blip r:embed="rId24"/>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11" name="图片 11" descr="组合 1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组合 1_页面_07"/>
                    <pic:cNvPicPr>
                      <a:picLocks noChangeAspect="1"/>
                    </pic:cNvPicPr>
                  </pic:nvPicPr>
                  <pic:blipFill>
                    <a:blip r:embed="rId25"/>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12" name="图片 12" descr="组合 1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组合 1_页面_06"/>
                    <pic:cNvPicPr>
                      <a:picLocks noChangeAspect="1"/>
                    </pic:cNvPicPr>
                  </pic:nvPicPr>
                  <pic:blipFill>
                    <a:blip r:embed="rId26"/>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13" name="图片 13" descr="组合 1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组合 1_页面_05"/>
                    <pic:cNvPicPr>
                      <a:picLocks noChangeAspect="1"/>
                    </pic:cNvPicPr>
                  </pic:nvPicPr>
                  <pic:blipFill>
                    <a:blip r:embed="rId27"/>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14" name="图片 14" descr="组合 1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组合 1_页面_04"/>
                    <pic:cNvPicPr>
                      <a:picLocks noChangeAspect="1"/>
                    </pic:cNvPicPr>
                  </pic:nvPicPr>
                  <pic:blipFill>
                    <a:blip r:embed="rId28"/>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15" name="图片 15" descr="组合 1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组合 1_页面_03"/>
                    <pic:cNvPicPr>
                      <a:picLocks noChangeAspect="1"/>
                    </pic:cNvPicPr>
                  </pic:nvPicPr>
                  <pic:blipFill>
                    <a:blip r:embed="rId29"/>
                    <a:stretch>
                      <a:fillRect/>
                    </a:stretch>
                  </pic:blipFill>
                  <pic:spPr>
                    <a:xfrm>
                      <a:off x="0" y="0"/>
                      <a:ext cx="5271135" cy="7452360"/>
                    </a:xfrm>
                    <a:prstGeom prst="rect">
                      <a:avLst/>
                    </a:prstGeom>
                  </pic:spPr>
                </pic:pic>
              </a:graphicData>
            </a:graphic>
          </wp:inline>
        </w:drawing>
      </w:r>
      <w:r>
        <w:rPr>
          <w:rFonts w:hint="eastAsia" w:eastAsiaTheme="minorEastAsia"/>
          <w:lang w:eastAsia="zh-CN"/>
        </w:rPr>
        <w:drawing>
          <wp:inline distT="0" distB="0" distL="114300" distR="114300">
            <wp:extent cx="5271135" cy="7452360"/>
            <wp:effectExtent l="0" t="0" r="5715" b="15240"/>
            <wp:docPr id="16" name="图片 16" descr="组合 1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组合 1_页面_02"/>
                    <pic:cNvPicPr>
                      <a:picLocks noChangeAspect="1"/>
                    </pic:cNvPicPr>
                  </pic:nvPicPr>
                  <pic:blipFill>
                    <a:blip r:embed="rId30"/>
                    <a:stretch>
                      <a:fillRect/>
                    </a:stretch>
                  </pic:blipFill>
                  <pic:spPr>
                    <a:xfrm>
                      <a:off x="0" y="0"/>
                      <a:ext cx="5271135" cy="7452360"/>
                    </a:xfrm>
                    <a:prstGeom prst="rect">
                      <a:avLst/>
                    </a:prstGeom>
                  </pic:spPr>
                </pic:pic>
              </a:graphicData>
            </a:graphic>
          </wp:inline>
        </w:drawing>
      </w:r>
    </w:p>
    <w:p>
      <w:pPr>
        <w:spacing w:line="600" w:lineRule="exact"/>
        <w:jc w:val="left"/>
        <w:outlineLvl w:val="9"/>
        <w:rPr>
          <w:rFonts w:hint="eastAsia" w:ascii="仿宋" w:hAnsi="仿宋" w:eastAsia="仿宋" w:cs="仿宋"/>
          <w:spacing w:val="8"/>
          <w:sz w:val="21"/>
          <w:szCs w:val="21"/>
        </w:rPr>
      </w:pPr>
      <w:r>
        <w:rPr>
          <w:rFonts w:hint="eastAsia" w:ascii="仿宋" w:hAnsi="仿宋" w:eastAsia="仿宋" w:cs="仿宋"/>
          <w:spacing w:val="8"/>
          <w:sz w:val="21"/>
          <w:szCs w:val="21"/>
        </w:rPr>
        <w:t>（备注：按照绩效自评工作安排，各单位可在预算管理一体化系统—综合报表查询—预算绩效报表模块中下载本单位“部门预算项目支出绩效自评表（2022年度）”，该表格应作为附件予以公开。）</w:t>
      </w:r>
    </w:p>
    <w:p>
      <w:pPr>
        <w:pStyle w:val="5"/>
        <w:spacing w:before="93"/>
        <w:rPr>
          <w:rFonts w:hAnsi="Calibri" w:cs="仿宋"/>
          <w:sz w:val="32"/>
          <w:szCs w:val="32"/>
        </w:rPr>
      </w:pPr>
    </w:p>
    <w:p>
      <w:pPr>
        <w:spacing w:line="600" w:lineRule="exact"/>
        <w:jc w:val="center"/>
        <w:outlineLvl w:val="0"/>
        <w:rPr>
          <w:rFonts w:ascii="仿宋" w:hAnsi="仿宋" w:eastAsia="仿宋"/>
        </w:rPr>
      </w:pPr>
      <w:bookmarkStart w:id="74" w:name="_Toc6926"/>
      <w:r>
        <w:rPr>
          <w:rFonts w:hint="eastAsia" w:ascii="黑体" w:hAnsi="黑体" w:eastAsia="黑体"/>
          <w:sz w:val="44"/>
          <w:szCs w:val="44"/>
        </w:rPr>
        <w:t>第</w:t>
      </w:r>
      <w:r>
        <w:rPr>
          <w:rStyle w:val="24"/>
          <w:rFonts w:hint="eastAsia" w:ascii="黑体" w:hAnsi="黑体" w:eastAsia="黑体"/>
          <w:b w:val="0"/>
        </w:rPr>
        <w:t>五部分 附表</w:t>
      </w:r>
      <w:bookmarkEnd w:id="70"/>
      <w:bookmarkEnd w:id="73"/>
      <w:bookmarkEnd w:id="74"/>
      <w:bookmarkStart w:id="75" w:name="_Toc15396619"/>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一、收入支出决算总表</w:t>
      </w:r>
      <w:bookmarkEnd w:id="75"/>
    </w:p>
    <w:p>
      <w:pPr>
        <w:spacing w:line="600" w:lineRule="exact"/>
        <w:ind w:firstLine="640"/>
        <w:rPr>
          <w:rFonts w:hint="eastAsia" w:ascii="仿宋" w:hAnsi="仿宋" w:eastAsia="仿宋" w:cs="仿宋"/>
          <w:sz w:val="30"/>
          <w:szCs w:val="30"/>
        </w:rPr>
      </w:pPr>
      <w:bookmarkStart w:id="76" w:name="_Toc15396620"/>
      <w:r>
        <w:rPr>
          <w:rFonts w:hint="eastAsia" w:ascii="仿宋" w:hAnsi="仿宋" w:eastAsia="仿宋" w:cs="仿宋"/>
          <w:sz w:val="30"/>
          <w:szCs w:val="30"/>
        </w:rPr>
        <w:t>二、收入决算表</w:t>
      </w:r>
      <w:bookmarkEnd w:id="76"/>
    </w:p>
    <w:p>
      <w:pPr>
        <w:spacing w:line="600" w:lineRule="exact"/>
        <w:ind w:firstLine="640"/>
        <w:rPr>
          <w:rFonts w:hint="eastAsia" w:ascii="仿宋" w:hAnsi="仿宋" w:eastAsia="仿宋" w:cs="仿宋"/>
          <w:sz w:val="30"/>
          <w:szCs w:val="30"/>
        </w:rPr>
      </w:pPr>
      <w:bookmarkStart w:id="77" w:name="_Toc15396621"/>
      <w:r>
        <w:rPr>
          <w:rFonts w:hint="eastAsia" w:ascii="仿宋" w:hAnsi="仿宋" w:eastAsia="仿宋" w:cs="仿宋"/>
          <w:sz w:val="30"/>
          <w:szCs w:val="30"/>
        </w:rPr>
        <w:t>三、支出决算表</w:t>
      </w:r>
      <w:bookmarkEnd w:id="77"/>
    </w:p>
    <w:p>
      <w:pPr>
        <w:spacing w:line="600" w:lineRule="exact"/>
        <w:ind w:firstLine="640"/>
        <w:rPr>
          <w:rFonts w:hint="eastAsia" w:ascii="仿宋" w:hAnsi="仿宋" w:eastAsia="仿宋" w:cs="仿宋"/>
          <w:sz w:val="30"/>
          <w:szCs w:val="30"/>
        </w:rPr>
      </w:pPr>
      <w:bookmarkStart w:id="78" w:name="_Toc15396622"/>
      <w:r>
        <w:rPr>
          <w:rFonts w:hint="eastAsia" w:ascii="仿宋" w:hAnsi="仿宋" w:eastAsia="仿宋" w:cs="仿宋"/>
          <w:sz w:val="30"/>
          <w:szCs w:val="30"/>
        </w:rPr>
        <w:t>四、财政拨款收入支出决算总表</w:t>
      </w:r>
      <w:bookmarkEnd w:id="78"/>
    </w:p>
    <w:p>
      <w:pPr>
        <w:spacing w:line="600" w:lineRule="exact"/>
        <w:ind w:firstLine="640"/>
        <w:rPr>
          <w:rFonts w:hint="eastAsia" w:ascii="仿宋" w:hAnsi="仿宋" w:eastAsia="仿宋" w:cs="仿宋"/>
          <w:sz w:val="30"/>
          <w:szCs w:val="30"/>
        </w:rPr>
      </w:pPr>
      <w:bookmarkStart w:id="79" w:name="_Toc15396623"/>
      <w:r>
        <w:rPr>
          <w:rFonts w:hint="eastAsia" w:ascii="仿宋" w:hAnsi="仿宋" w:eastAsia="仿宋" w:cs="仿宋"/>
          <w:sz w:val="30"/>
          <w:szCs w:val="30"/>
        </w:rPr>
        <w:t>五、财政拨款支出决算明细表</w:t>
      </w:r>
      <w:bookmarkEnd w:id="79"/>
      <w:bookmarkStart w:id="80" w:name="_Toc15396624"/>
    </w:p>
    <w:p>
      <w:pPr>
        <w:spacing w:line="600" w:lineRule="exact"/>
        <w:ind w:firstLine="640"/>
        <w:rPr>
          <w:rFonts w:hint="eastAsia" w:ascii="仿宋" w:hAnsi="仿宋" w:eastAsia="仿宋" w:cs="仿宋"/>
          <w:sz w:val="30"/>
          <w:szCs w:val="30"/>
        </w:rPr>
      </w:pPr>
      <w:r>
        <w:rPr>
          <w:rFonts w:hint="eastAsia" w:ascii="仿宋" w:hAnsi="仿宋" w:eastAsia="仿宋" w:cs="仿宋"/>
          <w:sz w:val="30"/>
          <w:szCs w:val="30"/>
        </w:rPr>
        <w:t>六、一般公共预算财政拨款支出决算表</w:t>
      </w:r>
      <w:bookmarkEnd w:id="80"/>
    </w:p>
    <w:p>
      <w:pPr>
        <w:spacing w:line="600" w:lineRule="exact"/>
        <w:ind w:firstLine="640"/>
        <w:rPr>
          <w:rFonts w:hint="eastAsia" w:ascii="仿宋" w:hAnsi="仿宋" w:eastAsia="仿宋" w:cs="仿宋"/>
          <w:sz w:val="30"/>
          <w:szCs w:val="30"/>
        </w:rPr>
      </w:pPr>
      <w:bookmarkStart w:id="81" w:name="_Toc15396625"/>
      <w:r>
        <w:rPr>
          <w:rFonts w:hint="eastAsia" w:ascii="仿宋" w:hAnsi="仿宋" w:eastAsia="仿宋" w:cs="仿宋"/>
          <w:sz w:val="30"/>
          <w:szCs w:val="30"/>
        </w:rPr>
        <w:t>七、一般公共预算财政拨款支出决算明细表</w:t>
      </w:r>
      <w:bookmarkEnd w:id="81"/>
    </w:p>
    <w:p>
      <w:pPr>
        <w:spacing w:line="600" w:lineRule="exact"/>
        <w:ind w:firstLine="640"/>
        <w:rPr>
          <w:rFonts w:hint="eastAsia" w:ascii="仿宋" w:hAnsi="仿宋" w:eastAsia="仿宋" w:cs="仿宋"/>
          <w:sz w:val="30"/>
          <w:szCs w:val="30"/>
        </w:rPr>
      </w:pPr>
      <w:bookmarkStart w:id="82" w:name="_Toc15396626"/>
      <w:r>
        <w:rPr>
          <w:rFonts w:hint="eastAsia" w:ascii="仿宋" w:hAnsi="仿宋" w:eastAsia="仿宋" w:cs="仿宋"/>
          <w:sz w:val="30"/>
          <w:szCs w:val="30"/>
        </w:rPr>
        <w:t>八、一般公共预算财政拨款基本支出决算表</w:t>
      </w:r>
      <w:bookmarkEnd w:id="82"/>
    </w:p>
    <w:p>
      <w:pPr>
        <w:spacing w:line="600" w:lineRule="exact"/>
        <w:ind w:firstLine="640"/>
        <w:rPr>
          <w:rFonts w:hint="eastAsia" w:ascii="仿宋" w:hAnsi="仿宋" w:eastAsia="仿宋" w:cs="仿宋"/>
          <w:sz w:val="30"/>
          <w:szCs w:val="30"/>
        </w:rPr>
      </w:pPr>
      <w:bookmarkStart w:id="83" w:name="_Toc15396627"/>
      <w:r>
        <w:rPr>
          <w:rFonts w:hint="eastAsia" w:ascii="仿宋" w:hAnsi="仿宋" w:eastAsia="仿宋" w:cs="仿宋"/>
          <w:sz w:val="30"/>
          <w:szCs w:val="30"/>
        </w:rPr>
        <w:t>九、一般公共预算财政拨款项目支出决算表</w:t>
      </w:r>
      <w:bookmarkEnd w:id="83"/>
    </w:p>
    <w:p>
      <w:pPr>
        <w:spacing w:line="600" w:lineRule="exact"/>
        <w:ind w:firstLine="640"/>
        <w:rPr>
          <w:rFonts w:hint="eastAsia" w:ascii="仿宋" w:hAnsi="仿宋" w:eastAsia="仿宋" w:cs="仿宋"/>
          <w:sz w:val="30"/>
          <w:szCs w:val="30"/>
        </w:rPr>
      </w:pPr>
      <w:bookmarkStart w:id="84" w:name="_Toc15396628"/>
      <w:r>
        <w:rPr>
          <w:rFonts w:hint="eastAsia" w:ascii="仿宋" w:hAnsi="仿宋" w:eastAsia="仿宋" w:cs="仿宋"/>
          <w:sz w:val="30"/>
          <w:szCs w:val="30"/>
        </w:rPr>
        <w:t>十、</w:t>
      </w:r>
      <w:bookmarkEnd w:id="84"/>
      <w:r>
        <w:rPr>
          <w:rFonts w:hint="eastAsia" w:ascii="仿宋" w:hAnsi="仿宋" w:eastAsia="仿宋" w:cs="仿宋"/>
          <w:sz w:val="30"/>
          <w:szCs w:val="30"/>
        </w:rPr>
        <w:t>政府性基金预算财政拨款收入支出决算表</w:t>
      </w:r>
    </w:p>
    <w:p>
      <w:pPr>
        <w:spacing w:line="600" w:lineRule="exact"/>
        <w:ind w:firstLine="640"/>
        <w:rPr>
          <w:rFonts w:hint="eastAsia" w:ascii="仿宋" w:hAnsi="仿宋" w:eastAsia="仿宋" w:cs="仿宋"/>
          <w:sz w:val="30"/>
          <w:szCs w:val="30"/>
        </w:rPr>
      </w:pPr>
      <w:bookmarkStart w:id="85" w:name="_Toc15396629"/>
      <w:r>
        <w:rPr>
          <w:rFonts w:hint="eastAsia" w:ascii="仿宋" w:hAnsi="仿宋" w:eastAsia="仿宋" w:cs="仿宋"/>
          <w:sz w:val="30"/>
          <w:szCs w:val="30"/>
        </w:rPr>
        <w:t>十一、</w:t>
      </w:r>
      <w:bookmarkEnd w:id="85"/>
      <w:r>
        <w:rPr>
          <w:rFonts w:hint="eastAsia" w:ascii="仿宋" w:hAnsi="仿宋" w:eastAsia="仿宋" w:cs="仿宋"/>
          <w:sz w:val="30"/>
          <w:szCs w:val="30"/>
        </w:rPr>
        <w:t>国有资本经营预算财政拨款收入支出决算表</w:t>
      </w:r>
    </w:p>
    <w:p>
      <w:pPr>
        <w:spacing w:line="600" w:lineRule="exact"/>
        <w:ind w:firstLine="640"/>
        <w:rPr>
          <w:rFonts w:hint="eastAsia" w:ascii="仿宋" w:hAnsi="仿宋" w:eastAsia="仿宋" w:cs="仿宋"/>
          <w:sz w:val="30"/>
          <w:szCs w:val="30"/>
        </w:rPr>
      </w:pPr>
      <w:bookmarkStart w:id="86" w:name="_Toc15396630"/>
      <w:r>
        <w:rPr>
          <w:rFonts w:hint="eastAsia" w:ascii="仿宋" w:hAnsi="仿宋" w:eastAsia="仿宋" w:cs="仿宋"/>
          <w:sz w:val="30"/>
          <w:szCs w:val="30"/>
        </w:rPr>
        <w:t>十二、</w:t>
      </w:r>
      <w:bookmarkEnd w:id="86"/>
      <w:r>
        <w:rPr>
          <w:rFonts w:hint="eastAsia" w:ascii="仿宋" w:hAnsi="仿宋" w:eastAsia="仿宋" w:cs="仿宋"/>
          <w:sz w:val="30"/>
          <w:szCs w:val="30"/>
        </w:rPr>
        <w:t>国有资本经营预算财政拨款支出决算表</w:t>
      </w:r>
    </w:p>
    <w:p>
      <w:pPr>
        <w:spacing w:line="600" w:lineRule="exact"/>
        <w:ind w:firstLine="640"/>
        <w:rPr>
          <w:rFonts w:hint="eastAsia" w:ascii="仿宋" w:hAnsi="仿宋" w:eastAsia="仿宋" w:cs="仿宋"/>
          <w:sz w:val="30"/>
          <w:szCs w:val="30"/>
        </w:rPr>
      </w:pPr>
      <w:bookmarkStart w:id="87" w:name="_Toc15396631"/>
      <w:r>
        <w:rPr>
          <w:rFonts w:hint="eastAsia" w:ascii="仿宋" w:hAnsi="仿宋" w:eastAsia="仿宋" w:cs="仿宋"/>
          <w:sz w:val="30"/>
          <w:szCs w:val="30"/>
        </w:rPr>
        <w:t>十三、</w:t>
      </w:r>
      <w:bookmarkEnd w:id="87"/>
      <w:r>
        <w:rPr>
          <w:rFonts w:hint="eastAsia" w:ascii="仿宋" w:hAnsi="仿宋" w:eastAsia="仿宋" w:cs="仿宋"/>
          <w:sz w:val="30"/>
          <w:szCs w:val="30"/>
        </w:rPr>
        <w:t>财政拨款“三公”经费支出决算表</w:t>
      </w:r>
    </w:p>
    <w:p>
      <w:pPr>
        <w:spacing w:line="600" w:lineRule="exact"/>
        <w:ind w:firstLine="640"/>
        <w:rPr>
          <w:rFonts w:hint="eastAsia" w:ascii="仿宋" w:hAnsi="仿宋" w:eastAsia="仿宋" w:cs="仿宋"/>
          <w:sz w:val="30"/>
          <w:szCs w:val="30"/>
        </w:rPr>
      </w:pPr>
    </w:p>
    <w:p>
      <w:pPr>
        <w:spacing w:line="600" w:lineRule="exact"/>
        <w:ind w:firstLine="640"/>
        <w:rPr>
          <w:rFonts w:hint="eastAsia" w:ascii="仿宋" w:hAnsi="仿宋" w:eastAsia="仿宋" w:cs="仿宋"/>
          <w:sz w:val="30"/>
          <w:szCs w:val="30"/>
        </w:rPr>
      </w:pPr>
    </w:p>
    <w:p>
      <w:pPr>
        <w:spacing w:line="600" w:lineRule="exact"/>
        <w:ind w:firstLine="640"/>
        <w:rPr>
          <w:rFonts w:hint="eastAsia" w:ascii="仿宋" w:hAnsi="仿宋" w:eastAsia="仿宋" w:cs="仿宋"/>
          <w:sz w:val="30"/>
          <w:szCs w:val="30"/>
        </w:rPr>
      </w:pPr>
    </w:p>
    <w:p>
      <w:pPr>
        <w:spacing w:line="600" w:lineRule="exact"/>
        <w:ind w:firstLine="640"/>
        <w:rPr>
          <w:rFonts w:hint="eastAsia" w:ascii="仿宋" w:hAnsi="仿宋" w:eastAsia="仿宋" w:cs="仿宋"/>
          <w:sz w:val="30"/>
          <w:szCs w:val="30"/>
        </w:rPr>
      </w:pPr>
    </w:p>
    <w:p>
      <w:pPr>
        <w:spacing w:line="600" w:lineRule="exact"/>
        <w:ind w:firstLine="640"/>
        <w:rPr>
          <w:rFonts w:hint="eastAsia" w:ascii="仿宋" w:hAnsi="仿宋" w:eastAsia="仿宋" w:cs="仿宋"/>
          <w:sz w:val="30"/>
          <w:szCs w:val="30"/>
        </w:rPr>
      </w:pPr>
    </w:p>
    <w:p>
      <w:pPr>
        <w:spacing w:line="600" w:lineRule="exact"/>
        <w:ind w:firstLine="640"/>
        <w:rPr>
          <w:rFonts w:hint="eastAsia" w:ascii="仿宋" w:hAnsi="仿宋" w:eastAsia="仿宋" w:cs="仿宋"/>
          <w:sz w:val="30"/>
          <w:szCs w:val="30"/>
        </w:rPr>
      </w:pPr>
    </w:p>
    <w:p>
      <w:pPr>
        <w:spacing w:line="600" w:lineRule="exact"/>
        <w:ind w:firstLine="640"/>
        <w:rPr>
          <w:rFonts w:hint="eastAsia" w:ascii="仿宋" w:hAnsi="仿宋" w:eastAsia="仿宋" w:cs="仿宋"/>
          <w:sz w:val="30"/>
          <w:szCs w:val="30"/>
        </w:rPr>
      </w:pPr>
    </w:p>
    <w:p>
      <w:pPr>
        <w:spacing w:line="600" w:lineRule="exact"/>
        <w:ind w:firstLine="640"/>
        <w:rPr>
          <w:rFonts w:hint="eastAsia" w:ascii="仿宋" w:hAnsi="仿宋" w:eastAsia="仿宋" w:cs="仿宋"/>
          <w:sz w:val="30"/>
          <w:szCs w:val="30"/>
        </w:rPr>
      </w:pPr>
    </w:p>
    <w:sectPr>
      <w:headerReference r:id="rId5" w:type="default"/>
      <w:footerReference r:id="rId6" w:type="default"/>
      <w:pgSz w:w="11906" w:h="16838"/>
      <w:pgMar w:top="1440" w:right="1800" w:bottom="1440" w:left="1800" w:header="851" w:footer="992" w:gutter="0"/>
      <w:pgNumType w:fmt="decimal"/>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方正小标宋简体">
    <w:altName w:val="方正舒体"/>
    <w:panose1 w:val="02010601030101010101"/>
    <w:charset w:val="86"/>
    <w:family w:val="script"/>
    <w:pitch w:val="default"/>
    <w:sig w:usb0="00000000" w:usb1="00000000" w:usb2="00000000" w:usb3="00000000" w:csb0="00040000" w:csb1="0000000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9" w:lineRule="auto"/>
      <w:ind w:left="4084"/>
      <w:rPr>
        <w:rFonts w:ascii="Calibri" w:hAnsi="Calibri" w:eastAsia="Calibri" w:cs="Calibri"/>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69" w:lineRule="auto"/>
      <w:ind w:left="4084"/>
      <w:rPr>
        <w:rFonts w:ascii="Calibri" w:hAnsi="Calibri" w:eastAsia="Calibri" w:cs="Calibri"/>
        <w:sz w:val="18"/>
        <w:szCs w:val="18"/>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2" name="文本框 9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Oos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OoszAgAAYw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7rWQ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7rWQzAgAAYw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652CEC"/>
    <w:multiLevelType w:val="singleLevel"/>
    <w:tmpl w:val="CF652CEC"/>
    <w:lvl w:ilvl="0" w:tentative="0">
      <w:start w:val="9"/>
      <w:numFmt w:val="chineseCounting"/>
      <w:suff w:val="nothing"/>
      <w:lvlText w:val="%1、"/>
      <w:lvlJc w:val="left"/>
      <w:rPr>
        <w:rFonts w:hint="eastAsia"/>
      </w:rPr>
    </w:lvl>
  </w:abstractNum>
  <w:abstractNum w:abstractNumId="1">
    <w:nsid w:val="E2FA047D"/>
    <w:multiLevelType w:val="singleLevel"/>
    <w:tmpl w:val="E2FA047D"/>
    <w:lvl w:ilvl="0" w:tentative="0">
      <w:start w:val="3"/>
      <w:numFmt w:val="chineseCounting"/>
      <w:suff w:val="space"/>
      <w:lvlText w:val="第%1部分"/>
      <w:lvlJc w:val="left"/>
      <w:rPr>
        <w:rFonts w:hint="eastAsia" w:ascii="黑体" w:hAnsi="黑体" w:eastAsia="黑体" w:cs="黑体"/>
        <w:sz w:val="44"/>
        <w:szCs w:val="44"/>
      </w:rPr>
    </w:lvl>
  </w:abstractNum>
  <w:abstractNum w:abstractNumId="2">
    <w:nsid w:val="1272550B"/>
    <w:multiLevelType w:val="multilevel"/>
    <w:tmpl w:val="1272550B"/>
    <w:lvl w:ilvl="0" w:tentative="0">
      <w:start w:val="1"/>
      <w:numFmt w:val="japaneseCounting"/>
      <w:lvlText w:val="%1、"/>
      <w:lvlJc w:val="left"/>
      <w:pPr>
        <w:ind w:left="1360" w:hanging="720"/>
      </w:pPr>
      <w:rPr>
        <w:rFonts w:hint="default"/>
        <w:b w:val="0"/>
      </w:rPr>
    </w:lvl>
    <w:lvl w:ilvl="1" w:tentative="0">
      <w:start w:val="1"/>
      <w:numFmt w:val="lowerLetter"/>
      <w:lvlText w:val="%2)"/>
      <w:lvlJc w:val="left"/>
      <w:pPr>
        <w:ind w:left="1480" w:hanging="420"/>
      </w:pPr>
    </w:lvl>
    <w:lvl w:ilvl="2" w:tentative="0">
      <w:start w:val="1"/>
      <w:numFmt w:val="lowerRoman"/>
      <w:lvlText w:val="%3."/>
      <w:lvlJc w:val="right"/>
      <w:pPr>
        <w:ind w:left="1900" w:hanging="420"/>
      </w:pPr>
    </w:lvl>
    <w:lvl w:ilvl="3" w:tentative="0">
      <w:start w:val="1"/>
      <w:numFmt w:val="decimal"/>
      <w:lvlText w:val="%4."/>
      <w:lvlJc w:val="left"/>
      <w:pPr>
        <w:ind w:left="2320" w:hanging="420"/>
      </w:pPr>
    </w:lvl>
    <w:lvl w:ilvl="4" w:tentative="0">
      <w:start w:val="1"/>
      <w:numFmt w:val="lowerLetter"/>
      <w:lvlText w:val="%5)"/>
      <w:lvlJc w:val="left"/>
      <w:pPr>
        <w:ind w:left="2740" w:hanging="420"/>
      </w:pPr>
    </w:lvl>
    <w:lvl w:ilvl="5" w:tentative="0">
      <w:start w:val="1"/>
      <w:numFmt w:val="lowerRoman"/>
      <w:lvlText w:val="%6."/>
      <w:lvlJc w:val="right"/>
      <w:pPr>
        <w:ind w:left="3160" w:hanging="420"/>
      </w:pPr>
    </w:lvl>
    <w:lvl w:ilvl="6" w:tentative="0">
      <w:start w:val="1"/>
      <w:numFmt w:val="decimal"/>
      <w:lvlText w:val="%7."/>
      <w:lvlJc w:val="left"/>
      <w:pPr>
        <w:ind w:left="3580" w:hanging="420"/>
      </w:pPr>
    </w:lvl>
    <w:lvl w:ilvl="7" w:tentative="0">
      <w:start w:val="1"/>
      <w:numFmt w:val="lowerLetter"/>
      <w:lvlText w:val="%8)"/>
      <w:lvlJc w:val="left"/>
      <w:pPr>
        <w:ind w:left="4000" w:hanging="420"/>
      </w:pPr>
    </w:lvl>
    <w:lvl w:ilvl="8" w:tentative="0">
      <w:start w:val="1"/>
      <w:numFmt w:val="lowerRoman"/>
      <w:lvlText w:val="%9."/>
      <w:lvlJc w:val="right"/>
      <w:pPr>
        <w:ind w:left="4420" w:hanging="420"/>
      </w:pPr>
    </w:lvl>
  </w:abstractNum>
  <w:abstractNum w:abstractNumId="3">
    <w:nsid w:val="36353F1E"/>
    <w:multiLevelType w:val="multilevel"/>
    <w:tmpl w:val="36353F1E"/>
    <w:lvl w:ilvl="0" w:tentative="0">
      <w:start w:val="1"/>
      <w:numFmt w:val="japaneseCounting"/>
      <w:lvlText w:val="%1、"/>
      <w:lvlJc w:val="left"/>
      <w:pPr>
        <w:ind w:left="900" w:hanging="48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3818A09A"/>
    <w:multiLevelType w:val="singleLevel"/>
    <w:tmpl w:val="3818A09A"/>
    <w:lvl w:ilvl="0" w:tentative="0">
      <w:start w:val="1"/>
      <w:numFmt w:val="chineseCounting"/>
      <w:suff w:val="nothing"/>
      <w:lvlText w:val="%1、"/>
      <w:lvlJc w:val="left"/>
      <w:rPr>
        <w:rFonts w:hint="eastAsia"/>
      </w:rPr>
    </w:lvl>
  </w:abstractNum>
  <w:num w:numId="1">
    <w:abstractNumId w:val="4"/>
  </w:num>
  <w:num w:numId="2">
    <w:abstractNumId w:val="3"/>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2YzNzZjNjU0NTg3MjMwZGMwNzVmOTFhNTQ3YmI1YjEifQ=="/>
  </w:docVars>
  <w:rsids>
    <w:rsidRoot w:val="00F1361C"/>
    <w:rsid w:val="000222C6"/>
    <w:rsid w:val="0002549F"/>
    <w:rsid w:val="000468DB"/>
    <w:rsid w:val="0006487A"/>
    <w:rsid w:val="00065F8F"/>
    <w:rsid w:val="00067A18"/>
    <w:rsid w:val="00070A43"/>
    <w:rsid w:val="000768F2"/>
    <w:rsid w:val="000811DB"/>
    <w:rsid w:val="0009184B"/>
    <w:rsid w:val="00094236"/>
    <w:rsid w:val="0009593C"/>
    <w:rsid w:val="00097322"/>
    <w:rsid w:val="000A293B"/>
    <w:rsid w:val="000A6A92"/>
    <w:rsid w:val="000B047F"/>
    <w:rsid w:val="000B5923"/>
    <w:rsid w:val="000B5A48"/>
    <w:rsid w:val="000B6FF3"/>
    <w:rsid w:val="000C3467"/>
    <w:rsid w:val="000C3CA6"/>
    <w:rsid w:val="000D1267"/>
    <w:rsid w:val="000D1D50"/>
    <w:rsid w:val="000D5782"/>
    <w:rsid w:val="000E6613"/>
    <w:rsid w:val="000E7119"/>
    <w:rsid w:val="00114E9B"/>
    <w:rsid w:val="00142216"/>
    <w:rsid w:val="00144D6A"/>
    <w:rsid w:val="0014729F"/>
    <w:rsid w:val="00157BAB"/>
    <w:rsid w:val="001654D1"/>
    <w:rsid w:val="00174518"/>
    <w:rsid w:val="0018106D"/>
    <w:rsid w:val="001877A7"/>
    <w:rsid w:val="00191536"/>
    <w:rsid w:val="00196687"/>
    <w:rsid w:val="001C0962"/>
    <w:rsid w:val="001D7531"/>
    <w:rsid w:val="001E737D"/>
    <w:rsid w:val="001F0592"/>
    <w:rsid w:val="001F7506"/>
    <w:rsid w:val="002006CD"/>
    <w:rsid w:val="00202B36"/>
    <w:rsid w:val="00204B7A"/>
    <w:rsid w:val="00204CDE"/>
    <w:rsid w:val="0021101A"/>
    <w:rsid w:val="00220536"/>
    <w:rsid w:val="00235629"/>
    <w:rsid w:val="00260C38"/>
    <w:rsid w:val="002616C0"/>
    <w:rsid w:val="00265372"/>
    <w:rsid w:val="002662AA"/>
    <w:rsid w:val="00280496"/>
    <w:rsid w:val="00294DC9"/>
    <w:rsid w:val="00295495"/>
    <w:rsid w:val="002A31DE"/>
    <w:rsid w:val="002B2613"/>
    <w:rsid w:val="002D6D05"/>
    <w:rsid w:val="002F1818"/>
    <w:rsid w:val="002F567B"/>
    <w:rsid w:val="003173D1"/>
    <w:rsid w:val="003216A9"/>
    <w:rsid w:val="00335A74"/>
    <w:rsid w:val="0036561B"/>
    <w:rsid w:val="0037013F"/>
    <w:rsid w:val="00380C92"/>
    <w:rsid w:val="003A484F"/>
    <w:rsid w:val="003A4883"/>
    <w:rsid w:val="003B0BE0"/>
    <w:rsid w:val="003B0C1B"/>
    <w:rsid w:val="003B688C"/>
    <w:rsid w:val="003C0291"/>
    <w:rsid w:val="003C39AE"/>
    <w:rsid w:val="003C7B60"/>
    <w:rsid w:val="003D0C0F"/>
    <w:rsid w:val="003D1FB2"/>
    <w:rsid w:val="003D66DA"/>
    <w:rsid w:val="003E1310"/>
    <w:rsid w:val="003E6F55"/>
    <w:rsid w:val="0040572C"/>
    <w:rsid w:val="00406254"/>
    <w:rsid w:val="004223DE"/>
    <w:rsid w:val="00434489"/>
    <w:rsid w:val="00437085"/>
    <w:rsid w:val="00443880"/>
    <w:rsid w:val="004464F4"/>
    <w:rsid w:val="00471401"/>
    <w:rsid w:val="00473F31"/>
    <w:rsid w:val="0048263A"/>
    <w:rsid w:val="00487E5D"/>
    <w:rsid w:val="004A711F"/>
    <w:rsid w:val="004B199D"/>
    <w:rsid w:val="004B4690"/>
    <w:rsid w:val="004B6240"/>
    <w:rsid w:val="004E0A2D"/>
    <w:rsid w:val="004E206B"/>
    <w:rsid w:val="004E6DF7"/>
    <w:rsid w:val="004F0FBD"/>
    <w:rsid w:val="004F195E"/>
    <w:rsid w:val="00505A47"/>
    <w:rsid w:val="00512FDA"/>
    <w:rsid w:val="00520DA0"/>
    <w:rsid w:val="005664BB"/>
    <w:rsid w:val="00566FFA"/>
    <w:rsid w:val="0057481D"/>
    <w:rsid w:val="0058486E"/>
    <w:rsid w:val="00585B33"/>
    <w:rsid w:val="0059014D"/>
    <w:rsid w:val="005B5C64"/>
    <w:rsid w:val="005C5337"/>
    <w:rsid w:val="005C6BD0"/>
    <w:rsid w:val="005D1C8B"/>
    <w:rsid w:val="005D468D"/>
    <w:rsid w:val="005D5CED"/>
    <w:rsid w:val="005E7BE1"/>
    <w:rsid w:val="005F1A4C"/>
    <w:rsid w:val="00605688"/>
    <w:rsid w:val="006070AF"/>
    <w:rsid w:val="00607E6C"/>
    <w:rsid w:val="006101B1"/>
    <w:rsid w:val="00614E44"/>
    <w:rsid w:val="0062270A"/>
    <w:rsid w:val="00622830"/>
    <w:rsid w:val="00623DA0"/>
    <w:rsid w:val="00630AEF"/>
    <w:rsid w:val="006325F8"/>
    <w:rsid w:val="00633463"/>
    <w:rsid w:val="00634C9A"/>
    <w:rsid w:val="006440E4"/>
    <w:rsid w:val="0066343B"/>
    <w:rsid w:val="00664777"/>
    <w:rsid w:val="006748A4"/>
    <w:rsid w:val="00681A31"/>
    <w:rsid w:val="00683E73"/>
    <w:rsid w:val="006A3141"/>
    <w:rsid w:val="006A5E34"/>
    <w:rsid w:val="006B2422"/>
    <w:rsid w:val="006B2B9A"/>
    <w:rsid w:val="006C1937"/>
    <w:rsid w:val="006F020C"/>
    <w:rsid w:val="00710FC8"/>
    <w:rsid w:val="007127B7"/>
    <w:rsid w:val="0071798E"/>
    <w:rsid w:val="007416B6"/>
    <w:rsid w:val="00746F48"/>
    <w:rsid w:val="0075404D"/>
    <w:rsid w:val="0076182A"/>
    <w:rsid w:val="00767B7E"/>
    <w:rsid w:val="007770C3"/>
    <w:rsid w:val="00784D24"/>
    <w:rsid w:val="00785FBA"/>
    <w:rsid w:val="00786E4A"/>
    <w:rsid w:val="007875EB"/>
    <w:rsid w:val="0079426B"/>
    <w:rsid w:val="007D1682"/>
    <w:rsid w:val="007D312A"/>
    <w:rsid w:val="007D3F19"/>
    <w:rsid w:val="007D788E"/>
    <w:rsid w:val="007E23B0"/>
    <w:rsid w:val="007E23E5"/>
    <w:rsid w:val="007F1991"/>
    <w:rsid w:val="007F2C2F"/>
    <w:rsid w:val="007F55FC"/>
    <w:rsid w:val="007F5665"/>
    <w:rsid w:val="00800112"/>
    <w:rsid w:val="00813348"/>
    <w:rsid w:val="008253BB"/>
    <w:rsid w:val="0083706E"/>
    <w:rsid w:val="008408F6"/>
    <w:rsid w:val="008423A5"/>
    <w:rsid w:val="00850625"/>
    <w:rsid w:val="00853718"/>
    <w:rsid w:val="00855221"/>
    <w:rsid w:val="00860645"/>
    <w:rsid w:val="00871F71"/>
    <w:rsid w:val="00872FD8"/>
    <w:rsid w:val="00885AF4"/>
    <w:rsid w:val="008939CD"/>
    <w:rsid w:val="008A7444"/>
    <w:rsid w:val="008B768C"/>
    <w:rsid w:val="008C4DB1"/>
    <w:rsid w:val="008C4EAF"/>
    <w:rsid w:val="008C5176"/>
    <w:rsid w:val="008C7FD0"/>
    <w:rsid w:val="008E1DE7"/>
    <w:rsid w:val="008E707C"/>
    <w:rsid w:val="00900B08"/>
    <w:rsid w:val="00902155"/>
    <w:rsid w:val="00902FA3"/>
    <w:rsid w:val="009216E6"/>
    <w:rsid w:val="00923564"/>
    <w:rsid w:val="0092392E"/>
    <w:rsid w:val="009315F9"/>
    <w:rsid w:val="00933499"/>
    <w:rsid w:val="00935C98"/>
    <w:rsid w:val="00946945"/>
    <w:rsid w:val="00951248"/>
    <w:rsid w:val="0095152F"/>
    <w:rsid w:val="00954C49"/>
    <w:rsid w:val="00955E37"/>
    <w:rsid w:val="0097099F"/>
    <w:rsid w:val="00971997"/>
    <w:rsid w:val="00971FFC"/>
    <w:rsid w:val="0098660A"/>
    <w:rsid w:val="009931C3"/>
    <w:rsid w:val="009B2C43"/>
    <w:rsid w:val="009B4EAE"/>
    <w:rsid w:val="009B7573"/>
    <w:rsid w:val="009C22F4"/>
    <w:rsid w:val="009C2A4B"/>
    <w:rsid w:val="009C2E98"/>
    <w:rsid w:val="009D3447"/>
    <w:rsid w:val="009D4711"/>
    <w:rsid w:val="009F1185"/>
    <w:rsid w:val="009F18CD"/>
    <w:rsid w:val="009F2A13"/>
    <w:rsid w:val="009F7527"/>
    <w:rsid w:val="00A04EB0"/>
    <w:rsid w:val="00A13CC1"/>
    <w:rsid w:val="00A16847"/>
    <w:rsid w:val="00A237D8"/>
    <w:rsid w:val="00A268C4"/>
    <w:rsid w:val="00A26D7F"/>
    <w:rsid w:val="00A307CD"/>
    <w:rsid w:val="00A331C8"/>
    <w:rsid w:val="00A3509C"/>
    <w:rsid w:val="00A40A00"/>
    <w:rsid w:val="00A4142F"/>
    <w:rsid w:val="00A421DD"/>
    <w:rsid w:val="00A422EB"/>
    <w:rsid w:val="00A45BB7"/>
    <w:rsid w:val="00A56DF2"/>
    <w:rsid w:val="00A56E6E"/>
    <w:rsid w:val="00A67AB5"/>
    <w:rsid w:val="00A733B2"/>
    <w:rsid w:val="00A741C2"/>
    <w:rsid w:val="00A91760"/>
    <w:rsid w:val="00A93B00"/>
    <w:rsid w:val="00A93C21"/>
    <w:rsid w:val="00AB64C9"/>
    <w:rsid w:val="00AC3C6A"/>
    <w:rsid w:val="00AD5620"/>
    <w:rsid w:val="00AD656B"/>
    <w:rsid w:val="00AD7C1B"/>
    <w:rsid w:val="00AE16BA"/>
    <w:rsid w:val="00AE1EBE"/>
    <w:rsid w:val="00AF7521"/>
    <w:rsid w:val="00B03C9D"/>
    <w:rsid w:val="00B060AE"/>
    <w:rsid w:val="00B10517"/>
    <w:rsid w:val="00B14E76"/>
    <w:rsid w:val="00B161B8"/>
    <w:rsid w:val="00B2048C"/>
    <w:rsid w:val="00B310B9"/>
    <w:rsid w:val="00B35F3F"/>
    <w:rsid w:val="00B36CBB"/>
    <w:rsid w:val="00B425E0"/>
    <w:rsid w:val="00B440AA"/>
    <w:rsid w:val="00B44B70"/>
    <w:rsid w:val="00B53C56"/>
    <w:rsid w:val="00B57DAF"/>
    <w:rsid w:val="00B77EA6"/>
    <w:rsid w:val="00B81598"/>
    <w:rsid w:val="00B841F1"/>
    <w:rsid w:val="00B944D6"/>
    <w:rsid w:val="00BB4DF0"/>
    <w:rsid w:val="00BC289F"/>
    <w:rsid w:val="00BC2D50"/>
    <w:rsid w:val="00BC5361"/>
    <w:rsid w:val="00BC5460"/>
    <w:rsid w:val="00BC5E2F"/>
    <w:rsid w:val="00BC6B50"/>
    <w:rsid w:val="00BD0E25"/>
    <w:rsid w:val="00BF5BD6"/>
    <w:rsid w:val="00C03E31"/>
    <w:rsid w:val="00C14DA9"/>
    <w:rsid w:val="00C33E72"/>
    <w:rsid w:val="00C354B2"/>
    <w:rsid w:val="00C35554"/>
    <w:rsid w:val="00C40F8A"/>
    <w:rsid w:val="00C42709"/>
    <w:rsid w:val="00C477F7"/>
    <w:rsid w:val="00C533CC"/>
    <w:rsid w:val="00C5751C"/>
    <w:rsid w:val="00C61BFC"/>
    <w:rsid w:val="00C62B85"/>
    <w:rsid w:val="00C65438"/>
    <w:rsid w:val="00C87FD8"/>
    <w:rsid w:val="00C91381"/>
    <w:rsid w:val="00C91CBB"/>
    <w:rsid w:val="00CB4E70"/>
    <w:rsid w:val="00CC09B6"/>
    <w:rsid w:val="00CC666F"/>
    <w:rsid w:val="00CD1E3F"/>
    <w:rsid w:val="00CE44F6"/>
    <w:rsid w:val="00CE49DA"/>
    <w:rsid w:val="00CE7B61"/>
    <w:rsid w:val="00D00095"/>
    <w:rsid w:val="00D114F0"/>
    <w:rsid w:val="00D20620"/>
    <w:rsid w:val="00D254F7"/>
    <w:rsid w:val="00D26091"/>
    <w:rsid w:val="00D2685C"/>
    <w:rsid w:val="00D34E7C"/>
    <w:rsid w:val="00D35489"/>
    <w:rsid w:val="00D36AFE"/>
    <w:rsid w:val="00D51276"/>
    <w:rsid w:val="00D624E6"/>
    <w:rsid w:val="00D7035F"/>
    <w:rsid w:val="00DA634F"/>
    <w:rsid w:val="00DA65AC"/>
    <w:rsid w:val="00DB1913"/>
    <w:rsid w:val="00DC410D"/>
    <w:rsid w:val="00DC5A81"/>
    <w:rsid w:val="00DC68CA"/>
    <w:rsid w:val="00DC7CBA"/>
    <w:rsid w:val="00DD73B7"/>
    <w:rsid w:val="00DF28BC"/>
    <w:rsid w:val="00DF34B9"/>
    <w:rsid w:val="00E01053"/>
    <w:rsid w:val="00E07ACF"/>
    <w:rsid w:val="00E331A1"/>
    <w:rsid w:val="00E33202"/>
    <w:rsid w:val="00E336A9"/>
    <w:rsid w:val="00E472B1"/>
    <w:rsid w:val="00E50624"/>
    <w:rsid w:val="00E568DF"/>
    <w:rsid w:val="00E64269"/>
    <w:rsid w:val="00E76B60"/>
    <w:rsid w:val="00E82267"/>
    <w:rsid w:val="00E853CE"/>
    <w:rsid w:val="00E867B6"/>
    <w:rsid w:val="00E91BEC"/>
    <w:rsid w:val="00EA010F"/>
    <w:rsid w:val="00ED1B63"/>
    <w:rsid w:val="00ED3C1F"/>
    <w:rsid w:val="00ED4085"/>
    <w:rsid w:val="00ED420E"/>
    <w:rsid w:val="00ED6FBE"/>
    <w:rsid w:val="00EE2F57"/>
    <w:rsid w:val="00EF4C34"/>
    <w:rsid w:val="00EF77C6"/>
    <w:rsid w:val="00F05438"/>
    <w:rsid w:val="00F1016D"/>
    <w:rsid w:val="00F1361C"/>
    <w:rsid w:val="00F156F0"/>
    <w:rsid w:val="00F160C7"/>
    <w:rsid w:val="00F2408F"/>
    <w:rsid w:val="00F240E9"/>
    <w:rsid w:val="00F36D8F"/>
    <w:rsid w:val="00F417B1"/>
    <w:rsid w:val="00F45853"/>
    <w:rsid w:val="00F602DF"/>
    <w:rsid w:val="00F754A1"/>
    <w:rsid w:val="00F81FD9"/>
    <w:rsid w:val="00F841AA"/>
    <w:rsid w:val="00F84A94"/>
    <w:rsid w:val="00F87E96"/>
    <w:rsid w:val="00FA23E8"/>
    <w:rsid w:val="00FC3FE4"/>
    <w:rsid w:val="00FD3CC1"/>
    <w:rsid w:val="00FF1E02"/>
    <w:rsid w:val="00FF30B4"/>
    <w:rsid w:val="02C170CB"/>
    <w:rsid w:val="04223B99"/>
    <w:rsid w:val="04243DB5"/>
    <w:rsid w:val="04567CE7"/>
    <w:rsid w:val="06127C3D"/>
    <w:rsid w:val="06DF3FC3"/>
    <w:rsid w:val="0788465B"/>
    <w:rsid w:val="07D80568"/>
    <w:rsid w:val="08AC5436"/>
    <w:rsid w:val="08EA41E4"/>
    <w:rsid w:val="0A2032A3"/>
    <w:rsid w:val="0AB539B9"/>
    <w:rsid w:val="0B8A37D8"/>
    <w:rsid w:val="0BB80BE0"/>
    <w:rsid w:val="0E70325A"/>
    <w:rsid w:val="0F1A0150"/>
    <w:rsid w:val="0FA91612"/>
    <w:rsid w:val="106B4B1A"/>
    <w:rsid w:val="10C055FF"/>
    <w:rsid w:val="10F863AD"/>
    <w:rsid w:val="118107EC"/>
    <w:rsid w:val="11DD6519"/>
    <w:rsid w:val="12435D4E"/>
    <w:rsid w:val="137D0AF1"/>
    <w:rsid w:val="13E273A3"/>
    <w:rsid w:val="15D078F9"/>
    <w:rsid w:val="15DD2016"/>
    <w:rsid w:val="16160A7E"/>
    <w:rsid w:val="16AF39B2"/>
    <w:rsid w:val="16B23F8B"/>
    <w:rsid w:val="16BB723D"/>
    <w:rsid w:val="18015F3F"/>
    <w:rsid w:val="182F304C"/>
    <w:rsid w:val="18D47700"/>
    <w:rsid w:val="18E86D07"/>
    <w:rsid w:val="194B4244"/>
    <w:rsid w:val="19AA0461"/>
    <w:rsid w:val="1A4274FB"/>
    <w:rsid w:val="1A5A3C35"/>
    <w:rsid w:val="1A736AA5"/>
    <w:rsid w:val="1AE45BF4"/>
    <w:rsid w:val="1B100797"/>
    <w:rsid w:val="1BE8440E"/>
    <w:rsid w:val="1C1059AD"/>
    <w:rsid w:val="1D155CEE"/>
    <w:rsid w:val="1D392227"/>
    <w:rsid w:val="1E332B7E"/>
    <w:rsid w:val="1ED815CC"/>
    <w:rsid w:val="1ED86523"/>
    <w:rsid w:val="1F060144"/>
    <w:rsid w:val="20F57F95"/>
    <w:rsid w:val="22916662"/>
    <w:rsid w:val="240371BF"/>
    <w:rsid w:val="25711CC6"/>
    <w:rsid w:val="25C741E6"/>
    <w:rsid w:val="25E602A5"/>
    <w:rsid w:val="268668DC"/>
    <w:rsid w:val="277B7141"/>
    <w:rsid w:val="27842671"/>
    <w:rsid w:val="29FD04D3"/>
    <w:rsid w:val="2ABE7A3E"/>
    <w:rsid w:val="2B593A95"/>
    <w:rsid w:val="2BF81500"/>
    <w:rsid w:val="2CA234A8"/>
    <w:rsid w:val="2DE03FF9"/>
    <w:rsid w:val="2DFB3240"/>
    <w:rsid w:val="2EFA178C"/>
    <w:rsid w:val="2F1E5FD5"/>
    <w:rsid w:val="30B46D73"/>
    <w:rsid w:val="314B3E80"/>
    <w:rsid w:val="319E66A5"/>
    <w:rsid w:val="319F7F4E"/>
    <w:rsid w:val="31C75BFC"/>
    <w:rsid w:val="33264BA4"/>
    <w:rsid w:val="35D72186"/>
    <w:rsid w:val="366E33D2"/>
    <w:rsid w:val="36A97B8A"/>
    <w:rsid w:val="36AC2EBA"/>
    <w:rsid w:val="383D272C"/>
    <w:rsid w:val="39AE70AB"/>
    <w:rsid w:val="3A583AA0"/>
    <w:rsid w:val="3A631DAF"/>
    <w:rsid w:val="3B023801"/>
    <w:rsid w:val="3B53405D"/>
    <w:rsid w:val="3B6C511E"/>
    <w:rsid w:val="3B8C57C0"/>
    <w:rsid w:val="3BF07AFD"/>
    <w:rsid w:val="3C0C0783"/>
    <w:rsid w:val="3D2421F6"/>
    <w:rsid w:val="3DB40D91"/>
    <w:rsid w:val="3E585358"/>
    <w:rsid w:val="3F9F3A96"/>
    <w:rsid w:val="40786313"/>
    <w:rsid w:val="40C33A32"/>
    <w:rsid w:val="43ED3D59"/>
    <w:rsid w:val="45603F46"/>
    <w:rsid w:val="47732303"/>
    <w:rsid w:val="484418FD"/>
    <w:rsid w:val="489A151D"/>
    <w:rsid w:val="48BF60AB"/>
    <w:rsid w:val="48F350D1"/>
    <w:rsid w:val="493C27E9"/>
    <w:rsid w:val="496F39ED"/>
    <w:rsid w:val="49FF41D3"/>
    <w:rsid w:val="4B7122DD"/>
    <w:rsid w:val="4BE068DB"/>
    <w:rsid w:val="4BF6002B"/>
    <w:rsid w:val="4D0D2E65"/>
    <w:rsid w:val="4D752558"/>
    <w:rsid w:val="4D814A59"/>
    <w:rsid w:val="4DC73975"/>
    <w:rsid w:val="4E08517B"/>
    <w:rsid w:val="4ECE2238"/>
    <w:rsid w:val="4F583EE0"/>
    <w:rsid w:val="4F5A6EF5"/>
    <w:rsid w:val="4FFA0AF3"/>
    <w:rsid w:val="50F12349"/>
    <w:rsid w:val="514E559A"/>
    <w:rsid w:val="51DB4B86"/>
    <w:rsid w:val="53755FB2"/>
    <w:rsid w:val="55032E80"/>
    <w:rsid w:val="55333C3E"/>
    <w:rsid w:val="562E10F0"/>
    <w:rsid w:val="597E4543"/>
    <w:rsid w:val="5B3B68B4"/>
    <w:rsid w:val="5B9A0723"/>
    <w:rsid w:val="5C6519EA"/>
    <w:rsid w:val="5D6F4961"/>
    <w:rsid w:val="60395667"/>
    <w:rsid w:val="60471B32"/>
    <w:rsid w:val="60C16F3B"/>
    <w:rsid w:val="61A7184D"/>
    <w:rsid w:val="61AD0628"/>
    <w:rsid w:val="62562501"/>
    <w:rsid w:val="635B76A3"/>
    <w:rsid w:val="63780255"/>
    <w:rsid w:val="641C6E32"/>
    <w:rsid w:val="646D58E0"/>
    <w:rsid w:val="64CA39A1"/>
    <w:rsid w:val="655751FA"/>
    <w:rsid w:val="67530DBD"/>
    <w:rsid w:val="68536CB8"/>
    <w:rsid w:val="69630ADE"/>
    <w:rsid w:val="69B64CFD"/>
    <w:rsid w:val="6A8E7749"/>
    <w:rsid w:val="6B3D425E"/>
    <w:rsid w:val="6C4A05C8"/>
    <w:rsid w:val="6C803E37"/>
    <w:rsid w:val="6D3B1A89"/>
    <w:rsid w:val="6D8B6DD7"/>
    <w:rsid w:val="6ED24CBD"/>
    <w:rsid w:val="6EDD18B4"/>
    <w:rsid w:val="6F863CF9"/>
    <w:rsid w:val="70B1066E"/>
    <w:rsid w:val="70E84C6C"/>
    <w:rsid w:val="710C022E"/>
    <w:rsid w:val="718B6F6A"/>
    <w:rsid w:val="71AD37BF"/>
    <w:rsid w:val="71BF4EC2"/>
    <w:rsid w:val="72734D90"/>
    <w:rsid w:val="73016068"/>
    <w:rsid w:val="739369E5"/>
    <w:rsid w:val="73ED5DA0"/>
    <w:rsid w:val="73F678D5"/>
    <w:rsid w:val="7412278C"/>
    <w:rsid w:val="74881961"/>
    <w:rsid w:val="74934583"/>
    <w:rsid w:val="74EC0AA3"/>
    <w:rsid w:val="760B4F58"/>
    <w:rsid w:val="78B92F6D"/>
    <w:rsid w:val="79461F0D"/>
    <w:rsid w:val="79883951"/>
    <w:rsid w:val="79E7B28D"/>
    <w:rsid w:val="7A835A05"/>
    <w:rsid w:val="7B4E0760"/>
    <w:rsid w:val="7BA9149B"/>
    <w:rsid w:val="7C376AA7"/>
    <w:rsid w:val="7D7E4262"/>
    <w:rsid w:val="7E22523F"/>
    <w:rsid w:val="7E53749D"/>
    <w:rsid w:val="7E815A95"/>
    <w:rsid w:val="7F78365F"/>
    <w:rsid w:val="7F9F20EE"/>
    <w:rsid w:val="9E3A10E2"/>
    <w:rsid w:val="F2E1F9D4"/>
    <w:rsid w:val="F788081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99"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99"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99"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4"/>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5"/>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8"/>
    <w:unhideWhenUsed/>
    <w:qFormat/>
    <w:uiPriority w:val="9"/>
    <w:pPr>
      <w:keepNext/>
      <w:keepLines/>
      <w:spacing w:before="260" w:after="260" w:line="416" w:lineRule="auto"/>
      <w:outlineLvl w:val="2"/>
    </w:pPr>
    <w:rPr>
      <w:b/>
      <w:bCs/>
      <w:sz w:val="32"/>
      <w:szCs w:val="32"/>
    </w:rPr>
  </w:style>
  <w:style w:type="character" w:default="1" w:styleId="13">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5">
    <w:name w:val="Body Text"/>
    <w:basedOn w:val="1"/>
    <w:link w:val="21"/>
    <w:qFormat/>
    <w:uiPriority w:val="99"/>
    <w:pPr>
      <w:spacing w:beforeLines="30"/>
    </w:pPr>
    <w:rPr>
      <w:rFonts w:ascii="仿宋_GB2312" w:eastAsia="仿宋_GB2312"/>
      <w:kern w:val="0"/>
      <w:sz w:val="30"/>
    </w:rPr>
  </w:style>
  <w:style w:type="paragraph" w:styleId="6">
    <w:name w:val="toc 3"/>
    <w:basedOn w:val="1"/>
    <w:next w:val="1"/>
    <w:unhideWhenUsed/>
    <w:qFormat/>
    <w:uiPriority w:val="39"/>
    <w:pPr>
      <w:tabs>
        <w:tab w:val="right" w:leader="dot" w:pos="8296"/>
      </w:tabs>
      <w:ind w:left="840" w:leftChars="400"/>
    </w:pPr>
  </w:style>
  <w:style w:type="paragraph" w:styleId="7">
    <w:name w:val="Balloon Text"/>
    <w:basedOn w:val="1"/>
    <w:link w:val="27"/>
    <w:semiHidden/>
    <w:unhideWhenUsed/>
    <w:qFormat/>
    <w:uiPriority w:val="99"/>
    <w:rPr>
      <w:sz w:val="18"/>
      <w:szCs w:val="18"/>
    </w:rPr>
  </w:style>
  <w:style w:type="paragraph" w:styleId="8">
    <w:name w:val="footer"/>
    <w:basedOn w:val="1"/>
    <w:link w:val="19"/>
    <w:qFormat/>
    <w:uiPriority w:val="99"/>
    <w:pPr>
      <w:tabs>
        <w:tab w:val="center" w:pos="4153"/>
        <w:tab w:val="right" w:pos="8306"/>
      </w:tabs>
      <w:snapToGrid w:val="0"/>
      <w:jc w:val="left"/>
    </w:pPr>
    <w:rPr>
      <w:rFonts w:ascii="Calibri" w:hAnsi="Calibri"/>
      <w:kern w:val="0"/>
      <w:sz w:val="18"/>
      <w:szCs w:val="18"/>
    </w:rPr>
  </w:style>
  <w:style w:type="paragraph" w:styleId="9">
    <w:name w:val="header"/>
    <w:basedOn w:val="1"/>
    <w:link w:val="17"/>
    <w:semiHidden/>
    <w:qFormat/>
    <w:uiPriority w:val="99"/>
    <w:pPr>
      <w:pBdr>
        <w:bottom w:val="single" w:color="auto" w:sz="6" w:space="1"/>
      </w:pBdr>
      <w:tabs>
        <w:tab w:val="center" w:pos="4153"/>
        <w:tab w:val="right" w:pos="8306"/>
      </w:tabs>
      <w:snapToGrid w:val="0"/>
      <w:jc w:val="center"/>
    </w:pPr>
    <w:rPr>
      <w:rFonts w:ascii="Calibri" w:hAnsi="Calibri"/>
      <w:kern w:val="0"/>
      <w:sz w:val="18"/>
      <w:szCs w:val="18"/>
    </w:rPr>
  </w:style>
  <w:style w:type="paragraph" w:styleId="10">
    <w:name w:val="toc 1"/>
    <w:basedOn w:val="1"/>
    <w:next w:val="1"/>
    <w:unhideWhenUsed/>
    <w:qFormat/>
    <w:uiPriority w:val="39"/>
    <w:pPr>
      <w:tabs>
        <w:tab w:val="right" w:leader="dot" w:pos="8296"/>
      </w:tabs>
      <w:spacing w:before="93"/>
      <w:jc w:val="center"/>
    </w:pPr>
    <w:rPr>
      <w:rFonts w:ascii="仿宋" w:hAnsi="仿宋" w:eastAsia="仿宋"/>
      <w:sz w:val="28"/>
      <w:szCs w:val="28"/>
    </w:rPr>
  </w:style>
  <w:style w:type="paragraph" w:styleId="11">
    <w:name w:val="toc 2"/>
    <w:basedOn w:val="1"/>
    <w:next w:val="1"/>
    <w:unhideWhenUsed/>
    <w:qFormat/>
    <w:uiPriority w:val="39"/>
    <w:pPr>
      <w:tabs>
        <w:tab w:val="right" w:leader="dot" w:pos="8296"/>
      </w:tabs>
      <w:ind w:left="420" w:leftChars="200"/>
    </w:pPr>
  </w:style>
  <w:style w:type="character" w:styleId="14">
    <w:name w:val="Strong"/>
    <w:basedOn w:val="13"/>
    <w:qFormat/>
    <w:uiPriority w:val="99"/>
    <w:rPr>
      <w:b/>
    </w:rPr>
  </w:style>
  <w:style w:type="character" w:styleId="15">
    <w:name w:val="Hyperlink"/>
    <w:basedOn w:val="13"/>
    <w:unhideWhenUsed/>
    <w:qFormat/>
    <w:uiPriority w:val="99"/>
    <w:rPr>
      <w:color w:val="0000FF" w:themeColor="hyperlink"/>
      <w:u w:val="single"/>
      <w14:textFill>
        <w14:solidFill>
          <w14:schemeClr w14:val="hlink"/>
        </w14:solidFill>
      </w14:textFill>
    </w:rPr>
  </w:style>
  <w:style w:type="character" w:customStyle="1" w:styleId="16">
    <w:name w:val="Header Char"/>
    <w:basedOn w:val="13"/>
    <w:semiHidden/>
    <w:qFormat/>
    <w:uiPriority w:val="99"/>
    <w:rPr>
      <w:rFonts w:ascii="Times New Roman" w:hAnsi="Times New Roman"/>
      <w:sz w:val="18"/>
      <w:szCs w:val="18"/>
    </w:rPr>
  </w:style>
  <w:style w:type="character" w:customStyle="1" w:styleId="17">
    <w:name w:val="页眉 字符"/>
    <w:link w:val="9"/>
    <w:semiHidden/>
    <w:qFormat/>
    <w:locked/>
    <w:uiPriority w:val="99"/>
    <w:rPr>
      <w:sz w:val="18"/>
    </w:rPr>
  </w:style>
  <w:style w:type="character" w:customStyle="1" w:styleId="18">
    <w:name w:val="Footer Char"/>
    <w:basedOn w:val="13"/>
    <w:semiHidden/>
    <w:qFormat/>
    <w:uiPriority w:val="99"/>
    <w:rPr>
      <w:rFonts w:ascii="Times New Roman" w:hAnsi="Times New Roman"/>
      <w:sz w:val="18"/>
      <w:szCs w:val="18"/>
    </w:rPr>
  </w:style>
  <w:style w:type="character" w:customStyle="1" w:styleId="19">
    <w:name w:val="页脚 字符"/>
    <w:link w:val="8"/>
    <w:qFormat/>
    <w:locked/>
    <w:uiPriority w:val="99"/>
    <w:rPr>
      <w:sz w:val="18"/>
    </w:rPr>
  </w:style>
  <w:style w:type="character" w:customStyle="1" w:styleId="20">
    <w:name w:val="Body Text Char"/>
    <w:basedOn w:val="13"/>
    <w:semiHidden/>
    <w:qFormat/>
    <w:uiPriority w:val="99"/>
    <w:rPr>
      <w:rFonts w:ascii="Times New Roman" w:hAnsi="Times New Roman"/>
      <w:szCs w:val="24"/>
    </w:rPr>
  </w:style>
  <w:style w:type="character" w:customStyle="1" w:styleId="21">
    <w:name w:val="正文文本 字符"/>
    <w:link w:val="5"/>
    <w:qFormat/>
    <w:locked/>
    <w:uiPriority w:val="99"/>
    <w:rPr>
      <w:rFonts w:ascii="仿宋_GB2312" w:hAnsi="Times New Roman" w:eastAsia="仿宋_GB2312"/>
      <w:sz w:val="24"/>
    </w:rPr>
  </w:style>
  <w:style w:type="paragraph" w:customStyle="1" w:styleId="22">
    <w:name w:val="Default"/>
    <w:qFormat/>
    <w:uiPriority w:val="99"/>
    <w:pPr>
      <w:widowControl w:val="0"/>
      <w:autoSpaceDE w:val="0"/>
      <w:autoSpaceDN w:val="0"/>
      <w:adjustRightInd w:val="0"/>
    </w:pPr>
    <w:rPr>
      <w:rFonts w:ascii="仿宋" w:hAnsi="Calibri" w:eastAsia="仿宋" w:cs="仿宋"/>
      <w:color w:val="000000"/>
      <w:sz w:val="24"/>
      <w:szCs w:val="24"/>
      <w:lang w:val="en-US" w:eastAsia="zh-CN" w:bidi="ar-SA"/>
    </w:rPr>
  </w:style>
  <w:style w:type="paragraph" w:styleId="23">
    <w:name w:val="List Paragraph"/>
    <w:basedOn w:val="1"/>
    <w:qFormat/>
    <w:uiPriority w:val="34"/>
    <w:pPr>
      <w:ind w:firstLine="420" w:firstLineChars="200"/>
    </w:pPr>
  </w:style>
  <w:style w:type="character" w:customStyle="1" w:styleId="24">
    <w:name w:val="标题 1 字符"/>
    <w:basedOn w:val="13"/>
    <w:link w:val="2"/>
    <w:qFormat/>
    <w:uiPriority w:val="9"/>
    <w:rPr>
      <w:rFonts w:ascii="Times New Roman" w:hAnsi="Times New Roman"/>
      <w:b/>
      <w:bCs/>
      <w:kern w:val="44"/>
      <w:sz w:val="44"/>
      <w:szCs w:val="44"/>
    </w:rPr>
  </w:style>
  <w:style w:type="character" w:customStyle="1" w:styleId="25">
    <w:name w:val="标题 2 字符"/>
    <w:basedOn w:val="13"/>
    <w:link w:val="3"/>
    <w:qFormat/>
    <w:uiPriority w:val="9"/>
    <w:rPr>
      <w:rFonts w:asciiTheme="majorHAnsi" w:hAnsiTheme="majorHAnsi" w:eastAsiaTheme="majorEastAsia" w:cstheme="majorBidi"/>
      <w:b/>
      <w:bCs/>
      <w:kern w:val="2"/>
      <w:sz w:val="32"/>
      <w:szCs w:val="32"/>
    </w:rPr>
  </w:style>
  <w:style w:type="paragraph" w:customStyle="1" w:styleId="26">
    <w:name w:val="TOC 标题1"/>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 w:type="character" w:customStyle="1" w:styleId="27">
    <w:name w:val="批注框文本 字符"/>
    <w:basedOn w:val="13"/>
    <w:link w:val="7"/>
    <w:semiHidden/>
    <w:qFormat/>
    <w:uiPriority w:val="99"/>
    <w:rPr>
      <w:rFonts w:ascii="Times New Roman" w:hAnsi="Times New Roman"/>
      <w:kern w:val="2"/>
      <w:sz w:val="18"/>
      <w:szCs w:val="18"/>
    </w:rPr>
  </w:style>
  <w:style w:type="character" w:customStyle="1" w:styleId="28">
    <w:name w:val="标题 3 字符"/>
    <w:basedOn w:val="13"/>
    <w:link w:val="4"/>
    <w:qFormat/>
    <w:uiPriority w:val="9"/>
    <w:rPr>
      <w:rFonts w:ascii="Times New Roman" w:hAnsi="Times New Roman"/>
      <w:b/>
      <w:bCs/>
      <w:kern w:val="2"/>
      <w:sz w:val="32"/>
      <w:szCs w:val="32"/>
    </w:rPr>
  </w:style>
  <w:style w:type="paragraph" w:customStyle="1" w:styleId="29">
    <w:name w:val="TOC 标题2"/>
    <w:basedOn w:val="2"/>
    <w:next w:val="1"/>
    <w:unhideWhenUsed/>
    <w:qFormat/>
    <w:uiPriority w:val="39"/>
    <w:pPr>
      <w:widowControl/>
      <w:spacing w:before="480" w:after="0" w:line="276" w:lineRule="auto"/>
      <w:jc w:val="left"/>
      <w:outlineLvl w:val="9"/>
    </w:pPr>
    <w:rPr>
      <w:rFonts w:asciiTheme="majorHAnsi" w:hAnsiTheme="majorHAnsi" w:eastAsiaTheme="majorEastAsia" w:cstheme="majorBidi"/>
      <w:color w:val="376092" w:themeColor="accent1" w:themeShade="BF"/>
      <w:kern w:val="0"/>
      <w:sz w:val="28"/>
      <w:szCs w:val="28"/>
    </w:rPr>
  </w:style>
</w:styles>
</file>

<file path=word/_rels/document.xml.rels><?xml version="1.0" encoding="UTF-8" standalone="yes"?>
<Relationships xmlns="http://schemas.openxmlformats.org/package/2006/relationships"><Relationship Id="rId9" Type="http://schemas.openxmlformats.org/officeDocument/2006/relationships/chart" Target="charts/chart2.xml"/><Relationship Id="rId8" Type="http://schemas.openxmlformats.org/officeDocument/2006/relationships/chart" Target="charts/chart1.xml"/><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header" Target="header1.xml"/><Relationship Id="rId4" Type="http://schemas.openxmlformats.org/officeDocument/2006/relationships/footer" Target="footer2.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16.jpeg"/><Relationship Id="rId3" Type="http://schemas.openxmlformats.org/officeDocument/2006/relationships/footer" Target="footer1.xml"/><Relationship Id="rId29" Type="http://schemas.openxmlformats.org/officeDocument/2006/relationships/image" Target="media/image15.jpeg"/><Relationship Id="rId28" Type="http://schemas.openxmlformats.org/officeDocument/2006/relationships/image" Target="media/image14.jpeg"/><Relationship Id="rId27" Type="http://schemas.openxmlformats.org/officeDocument/2006/relationships/image" Target="media/image13.jpeg"/><Relationship Id="rId26" Type="http://schemas.openxmlformats.org/officeDocument/2006/relationships/image" Target="media/image12.jpeg"/><Relationship Id="rId25" Type="http://schemas.openxmlformats.org/officeDocument/2006/relationships/image" Target="media/image11.jpe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jpeg"/><Relationship Id="rId20" Type="http://schemas.openxmlformats.org/officeDocument/2006/relationships/image" Target="media/image6.jpeg"/><Relationship Id="rId2" Type="http://schemas.openxmlformats.org/officeDocument/2006/relationships/settings" Target="settings.xml"/><Relationship Id="rId19" Type="http://schemas.openxmlformats.org/officeDocument/2006/relationships/image" Target="media/image5.jpeg"/><Relationship Id="rId18" Type="http://schemas.openxmlformats.org/officeDocument/2006/relationships/image" Target="media/image4.jpeg"/><Relationship Id="rId17" Type="http://schemas.openxmlformats.org/officeDocument/2006/relationships/image" Target="media/image3.jpeg"/><Relationship Id="rId16" Type="http://schemas.openxmlformats.org/officeDocument/2006/relationships/image" Target="media/image2.jpeg"/><Relationship Id="rId15" Type="http://schemas.openxmlformats.org/officeDocument/2006/relationships/image" Target="media/image1.jpeg"/><Relationship Id="rId14" Type="http://schemas.openxmlformats.org/officeDocument/2006/relationships/chart" Target="charts/chart7.xml"/><Relationship Id="rId13" Type="http://schemas.openxmlformats.org/officeDocument/2006/relationships/chart" Target="charts/chart6.xml"/><Relationship Id="rId12" Type="http://schemas.openxmlformats.org/officeDocument/2006/relationships/chart" Target="charts/chart5.xml"/><Relationship Id="rId11" Type="http://schemas.openxmlformats.org/officeDocument/2006/relationships/chart" Target="charts/chart4.xml"/><Relationship Id="rId10" Type="http://schemas.openxmlformats.org/officeDocument/2006/relationships/chart" Target="charts/chart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7.xml"/><Relationship Id="rId2" Type="http://schemas.microsoft.com/office/2011/relationships/chartStyle" Target="style7.xml"/><Relationship Id="rId1" Type="http://schemas.openxmlformats.org/officeDocument/2006/relationships/package" Target="../embeddings/Workbook7.xlsx"/></Relationships>
</file>

<file path=word/charts/_rels/chart2.xml.rels><?xml version="1.0" encoding="UTF-8" standalone="yes"?>
<Relationships xmlns="http://schemas.openxmlformats.org/package/2006/relationships"><Relationship Id="rId3" Type="http://schemas.microsoft.com/office/2011/relationships/chartColorStyle" Target="colors6.xml"/><Relationship Id="rId2" Type="http://schemas.microsoft.com/office/2011/relationships/chartStyle" Target="style6.xml"/><Relationship Id="rId1" Type="http://schemas.openxmlformats.org/officeDocument/2006/relationships/package" Target="../embeddings/Workbook6.xlsx"/></Relationships>
</file>

<file path=word/charts/_rels/chart3.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package" Target="../embeddings/Workbook4.xlsx"/></Relationships>
</file>

<file path=word/charts/_rels/chart4.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package" Target="../embeddings/Workbook1.xlsx"/></Relationships>
</file>

<file path=word/charts/_rels/chart5.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package" Target="../embeddings/Workbook5.xlsx"/></Relationships>
</file>

<file path=word/charts/_rels/chart6.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package" Target="../embeddings/Workbook2.xlsx"/></Relationships>
</file>

<file path=word/charts/_rels/chart7.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Workbook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2022年</c:v>
                </c:pt>
              </c:strCache>
            </c:strRef>
          </c:tx>
          <c:spPr>
            <a:solidFill>
              <a:schemeClr val="accent1"/>
            </a:solidFill>
            <a:ln>
              <a:noFill/>
            </a:ln>
            <a:effectLst/>
          </c:spPr>
          <c:invertIfNegative val="0"/>
          <c:dLbls>
            <c:delete val="1"/>
          </c:dLbls>
          <c:cat>
            <c:strRef>
              <c:f>Sheet1!$A$2:$A$8</c:f>
              <c:strCache>
                <c:ptCount val="7"/>
                <c:pt idx="0">
                  <c:v>财政拨款收入</c:v>
                </c:pt>
                <c:pt idx="1">
                  <c:v>事业收入</c:v>
                </c:pt>
                <c:pt idx="2">
                  <c:v>经营收入</c:v>
                </c:pt>
                <c:pt idx="3">
                  <c:v>其他收入</c:v>
                </c:pt>
                <c:pt idx="4">
                  <c:v>基本支出</c:v>
                </c:pt>
                <c:pt idx="5">
                  <c:v>项目支出</c:v>
                </c:pt>
                <c:pt idx="6">
                  <c:v>经营支出</c:v>
                </c:pt>
              </c:strCache>
            </c:strRef>
          </c:cat>
          <c:val>
            <c:numRef>
              <c:f>Sheet1!$B$2:$B$8</c:f>
              <c:numCache>
                <c:formatCode>#,##0.00</c:formatCode>
                <c:ptCount val="7"/>
                <c:pt idx="0">
                  <c:v>44411.43</c:v>
                </c:pt>
                <c:pt idx="1">
                  <c:v>15019.63</c:v>
                </c:pt>
                <c:pt idx="2">
                  <c:v>2475.65</c:v>
                </c:pt>
                <c:pt idx="3">
                  <c:v>3391.21</c:v>
                </c:pt>
                <c:pt idx="4">
                  <c:v>29772.2</c:v>
                </c:pt>
                <c:pt idx="5">
                  <c:v>30205.21</c:v>
                </c:pt>
                <c:pt idx="6">
                  <c:v>2356.58</c:v>
                </c:pt>
              </c:numCache>
            </c:numRef>
          </c:val>
        </c:ser>
        <c:ser>
          <c:idx val="1"/>
          <c:order val="1"/>
          <c:tx>
            <c:strRef>
              <c:f>Sheet1!$C$1</c:f>
              <c:strCache>
                <c:ptCount val="1"/>
                <c:pt idx="0">
                  <c:v>2021年</c:v>
                </c:pt>
              </c:strCache>
            </c:strRef>
          </c:tx>
          <c:spPr>
            <a:solidFill>
              <a:schemeClr val="accent2"/>
            </a:solidFill>
            <a:ln>
              <a:noFill/>
            </a:ln>
            <a:effectLst/>
          </c:spPr>
          <c:invertIfNegative val="0"/>
          <c:dLbls>
            <c:delete val="1"/>
          </c:dLbls>
          <c:cat>
            <c:strRef>
              <c:f>Sheet1!$A$2:$A$8</c:f>
              <c:strCache>
                <c:ptCount val="7"/>
                <c:pt idx="0">
                  <c:v>财政拨款收入</c:v>
                </c:pt>
                <c:pt idx="1">
                  <c:v>事业收入</c:v>
                </c:pt>
                <c:pt idx="2">
                  <c:v>经营收入</c:v>
                </c:pt>
                <c:pt idx="3">
                  <c:v>其他收入</c:v>
                </c:pt>
                <c:pt idx="4">
                  <c:v>基本支出</c:v>
                </c:pt>
                <c:pt idx="5">
                  <c:v>项目支出</c:v>
                </c:pt>
                <c:pt idx="6">
                  <c:v>经营支出</c:v>
                </c:pt>
              </c:strCache>
            </c:strRef>
          </c:cat>
          <c:val>
            <c:numRef>
              <c:f>Sheet1!$C$2:$C$8</c:f>
              <c:numCache>
                <c:formatCode>#,##0.00</c:formatCode>
                <c:ptCount val="7"/>
                <c:pt idx="0">
                  <c:v>50208.62</c:v>
                </c:pt>
                <c:pt idx="1">
                  <c:v>6031.29</c:v>
                </c:pt>
                <c:pt idx="2">
                  <c:v>470.17</c:v>
                </c:pt>
                <c:pt idx="3">
                  <c:v>3369.01</c:v>
                </c:pt>
                <c:pt idx="4">
                  <c:v>25349.05</c:v>
                </c:pt>
                <c:pt idx="5">
                  <c:v>34336.17</c:v>
                </c:pt>
                <c:pt idx="6">
                  <c:v>292.85</c:v>
                </c:pt>
              </c:numCache>
            </c:numRef>
          </c:val>
        </c:ser>
        <c:ser>
          <c:idx val="2"/>
          <c:order val="2"/>
          <c:tx>
            <c:strRef>
              <c:f>Sheet1!$D$1</c:f>
              <c:strCache>
                <c:ptCount val="1"/>
                <c:pt idx="0">
                  <c:v>22年与21年变化</c:v>
                </c:pt>
              </c:strCache>
            </c:strRef>
          </c:tx>
          <c:spPr>
            <a:solidFill>
              <a:schemeClr val="accent3"/>
            </a:solidFill>
            <a:ln>
              <a:noFill/>
            </a:ln>
            <a:effectLst/>
          </c:spPr>
          <c:invertIfNegative val="0"/>
          <c:dLbls>
            <c:delete val="1"/>
          </c:dLbls>
          <c:cat>
            <c:strRef>
              <c:f>Sheet1!$A$2:$A$8</c:f>
              <c:strCache>
                <c:ptCount val="7"/>
                <c:pt idx="0">
                  <c:v>财政拨款收入</c:v>
                </c:pt>
                <c:pt idx="1">
                  <c:v>事业收入</c:v>
                </c:pt>
                <c:pt idx="2">
                  <c:v>经营收入</c:v>
                </c:pt>
                <c:pt idx="3">
                  <c:v>其他收入</c:v>
                </c:pt>
                <c:pt idx="4">
                  <c:v>基本支出</c:v>
                </c:pt>
                <c:pt idx="5">
                  <c:v>项目支出</c:v>
                </c:pt>
                <c:pt idx="6">
                  <c:v>经营支出</c:v>
                </c:pt>
              </c:strCache>
            </c:strRef>
          </c:cat>
          <c:val>
            <c:numRef>
              <c:f>Sheet1!$D$2:$D$8</c:f>
              <c:numCache>
                <c:formatCode>General</c:formatCode>
                <c:ptCount val="7"/>
                <c:pt idx="0">
                  <c:v>-5797.19</c:v>
                </c:pt>
                <c:pt idx="1">
                  <c:v>8988.34</c:v>
                </c:pt>
                <c:pt idx="2">
                  <c:v>2005.48</c:v>
                </c:pt>
                <c:pt idx="3">
                  <c:v>22.1999999999998</c:v>
                </c:pt>
                <c:pt idx="4">
                  <c:v>4423.15</c:v>
                </c:pt>
                <c:pt idx="5">
                  <c:v>-4130.96</c:v>
                </c:pt>
                <c:pt idx="6">
                  <c:v>2063.73</c:v>
                </c:pt>
              </c:numCache>
            </c:numRef>
          </c:val>
        </c:ser>
        <c:dLbls>
          <c:showLegendKey val="0"/>
          <c:showVal val="0"/>
          <c:showCatName val="0"/>
          <c:showSerName val="0"/>
          <c:showPercent val="0"/>
          <c:showBubbleSize val="0"/>
        </c:dLbls>
        <c:gapWidth val="246"/>
        <c:overlap val="-28"/>
        <c:axId val="312930212"/>
        <c:axId val="952919433"/>
      </c:barChart>
      <c:catAx>
        <c:axId val="31293021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952919433"/>
        <c:crosses val="autoZero"/>
        <c:auto val="1"/>
        <c:lblAlgn val="ctr"/>
        <c:lblOffset val="100"/>
        <c:noMultiLvlLbl val="0"/>
      </c:catAx>
      <c:valAx>
        <c:axId val="952919433"/>
        <c:scaling>
          <c:orientation val="minMax"/>
        </c:scaling>
        <c:delete val="0"/>
        <c:axPos val="l"/>
        <c:majorGridlines>
          <c:spPr>
            <a:ln w="9525" cap="flat" cmpd="sng" algn="ctr">
              <a:solidFill>
                <a:schemeClr val="bg1">
                  <a:lumMod val="90200"/>
                </a:schemeClr>
              </a:solidFill>
              <a:round/>
            </a:ln>
            <a:effectLst/>
          </c:spPr>
        </c:majorGridlines>
        <c:numFmt formatCode="#,##0.00"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12930212"/>
        <c:crosses val="autoZero"/>
        <c:crossBetween val="between"/>
      </c:valAx>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比例</c:v>
                </c:pt>
              </c:strCache>
            </c:strRef>
          </c:tx>
          <c:spPr/>
          <c:explosion val="0"/>
          <c:dPt>
            <c:idx val="0"/>
            <c:bubble3D val="0"/>
            <c:spPr>
              <a:solidFill>
                <a:schemeClr val="accent1"/>
              </a:solidFill>
              <a:ln>
                <a:solidFill>
                  <a:schemeClr val="bg1"/>
                </a:solidFill>
              </a:ln>
              <a:effectLst/>
            </c:spPr>
          </c:dPt>
          <c:dPt>
            <c:idx val="1"/>
            <c:bubble3D val="0"/>
            <c:spPr>
              <a:solidFill>
                <a:schemeClr val="accent2"/>
              </a:solidFill>
              <a:ln>
                <a:solidFill>
                  <a:schemeClr val="bg1"/>
                </a:solidFill>
              </a:ln>
              <a:effectLst/>
            </c:spPr>
          </c:dPt>
          <c:dPt>
            <c:idx val="2"/>
            <c:bubble3D val="0"/>
            <c:spPr>
              <a:solidFill>
                <a:schemeClr val="accent3"/>
              </a:solidFill>
              <a:ln>
                <a:solidFill>
                  <a:schemeClr val="bg1"/>
                </a:solidFill>
              </a:ln>
              <a:effectLst/>
            </c:spPr>
          </c:dPt>
          <c:dPt>
            <c:idx val="3"/>
            <c:bubble3D val="0"/>
            <c:spPr>
              <a:solidFill>
                <a:schemeClr val="accent4"/>
              </a:solidFill>
              <a:ln>
                <a:solidFill>
                  <a:schemeClr val="bg1"/>
                </a:solidFill>
              </a:ln>
              <a:effectLst/>
            </c:spPr>
          </c:dPt>
          <c:dLbls>
            <c:dLbl>
              <c:idx val="1"/>
              <c:layout/>
              <c:dLblPos val="inEnd"/>
              <c:showLegendKey val="0"/>
              <c:showVal val="1"/>
              <c:showCatName val="0"/>
              <c:showSerName val="0"/>
              <c:showPercent val="1"/>
              <c:showBubbleSize val="0"/>
              <c:extLst>
                <c:ext xmlns:c15="http://schemas.microsoft.com/office/drawing/2012/chart" uri="{CE6537A1-D6FC-4f65-9D91-7224C49458BB}"/>
              </c:extLst>
            </c:dLbl>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一般公共预算财政拨款收入</c:v>
                </c:pt>
                <c:pt idx="1">
                  <c:v>事业收入</c:v>
                </c:pt>
                <c:pt idx="2">
                  <c:v>经营收入</c:v>
                </c:pt>
                <c:pt idx="3">
                  <c:v>其他收入</c:v>
                </c:pt>
              </c:strCache>
            </c:strRef>
          </c:cat>
          <c:val>
            <c:numRef>
              <c:f>Sheet1!$B$2:$B$5</c:f>
              <c:numCache>
                <c:formatCode>0.00%</c:formatCode>
                <c:ptCount val="4"/>
                <c:pt idx="0">
                  <c:v>0.6802</c:v>
                </c:pt>
                <c:pt idx="1" c:formatCode="0%">
                  <c:v>0.23</c:v>
                </c:pt>
                <c:pt idx="2">
                  <c:v>0.0379</c:v>
                </c:pt>
                <c:pt idx="3">
                  <c:v>0.0519</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占比</c:v>
                </c:pt>
              </c:strCache>
            </c:strRef>
          </c:tx>
          <c:spPr/>
          <c:explosion val="0"/>
          <c:dPt>
            <c:idx val="0"/>
            <c:bubble3D val="0"/>
            <c:spPr>
              <a:solidFill>
                <a:schemeClr val="accent1"/>
              </a:solidFill>
              <a:ln>
                <a:solidFill>
                  <a:schemeClr val="bg1"/>
                </a:solidFill>
              </a:ln>
              <a:effectLst/>
            </c:spPr>
          </c:dPt>
          <c:dPt>
            <c:idx val="1"/>
            <c:bubble3D val="0"/>
            <c:spPr>
              <a:solidFill>
                <a:schemeClr val="accent2"/>
              </a:solidFill>
              <a:ln>
                <a:solidFill>
                  <a:schemeClr val="bg1"/>
                </a:solidFill>
              </a:ln>
              <a:effectLst/>
            </c:spPr>
          </c:dPt>
          <c:dPt>
            <c:idx val="2"/>
            <c:bubble3D val="0"/>
            <c:spPr>
              <a:solidFill>
                <a:schemeClr val="accent3"/>
              </a:solidFill>
              <a:ln>
                <a:solidFill>
                  <a:schemeClr val="bg1"/>
                </a:solidFill>
              </a:ln>
              <a:effectLst/>
            </c:spPr>
          </c:dPt>
          <c:dPt>
            <c:idx val="3"/>
            <c:bubble3D val="0"/>
            <c:spPr>
              <a:solidFill>
                <a:schemeClr val="accent4"/>
              </a:solidFill>
              <a:ln>
                <a:solidFill>
                  <a:schemeClr val="bg1"/>
                </a:solidFill>
              </a:ln>
              <a:effectLst/>
            </c:spPr>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基本支出</c:v>
                </c:pt>
                <c:pt idx="1">
                  <c:v>项目支出</c:v>
                </c:pt>
                <c:pt idx="2">
                  <c:v>经营支出</c:v>
                </c:pt>
              </c:strCache>
            </c:strRef>
          </c:cat>
          <c:val>
            <c:numRef>
              <c:f>Sheet1!$B$2:$B$5</c:f>
              <c:numCache>
                <c:formatCode>0.00%</c:formatCode>
                <c:ptCount val="4"/>
                <c:pt idx="0">
                  <c:v>0.4776</c:v>
                </c:pt>
                <c:pt idx="1">
                  <c:v>0.4846</c:v>
                </c:pt>
                <c:pt idx="2">
                  <c:v>0.0378</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财政拨款收入</c:v>
                </c:pt>
              </c:strCache>
            </c:strRef>
          </c:tx>
          <c:spPr>
            <a:solidFill>
              <a:schemeClr val="accent1"/>
            </a:solidFill>
            <a:ln>
              <a:noFill/>
            </a:ln>
            <a:effectLst/>
          </c:spPr>
          <c:invertIfNegative val="0"/>
          <c:dLbls>
            <c:delete val="1"/>
          </c:dLbls>
          <c:cat>
            <c:strRef>
              <c:f>Sheet1!$A$2:$A$4</c:f>
              <c:strCache>
                <c:ptCount val="3"/>
                <c:pt idx="0">
                  <c:v>2022年</c:v>
                </c:pt>
                <c:pt idx="1">
                  <c:v>2021年</c:v>
                </c:pt>
                <c:pt idx="2">
                  <c:v>22年与21年比</c:v>
                </c:pt>
              </c:strCache>
            </c:strRef>
          </c:cat>
          <c:val>
            <c:numRef>
              <c:f>Sheet1!$B$2:$B$4</c:f>
              <c:numCache>
                <c:formatCode>General</c:formatCode>
                <c:ptCount val="3"/>
                <c:pt idx="0">
                  <c:v>44411.43</c:v>
                </c:pt>
                <c:pt idx="1">
                  <c:v>50208.62</c:v>
                </c:pt>
                <c:pt idx="2">
                  <c:v>-5797.19</c:v>
                </c:pt>
              </c:numCache>
            </c:numRef>
          </c:val>
        </c:ser>
        <c:ser>
          <c:idx val="1"/>
          <c:order val="1"/>
          <c:tx>
            <c:strRef>
              <c:f>Sheet1!$C$1</c:f>
              <c:strCache>
                <c:ptCount val="1"/>
                <c:pt idx="0">
                  <c:v>财政拨款支出</c:v>
                </c:pt>
              </c:strCache>
            </c:strRef>
          </c:tx>
          <c:spPr>
            <a:solidFill>
              <a:schemeClr val="accent2"/>
            </a:solidFill>
            <a:ln>
              <a:noFill/>
            </a:ln>
            <a:effectLst/>
          </c:spPr>
          <c:invertIfNegative val="0"/>
          <c:dLbls>
            <c:delete val="1"/>
          </c:dLbls>
          <c:cat>
            <c:strRef>
              <c:f>Sheet1!$A$2:$A$4</c:f>
              <c:strCache>
                <c:ptCount val="3"/>
                <c:pt idx="0">
                  <c:v>2022年</c:v>
                </c:pt>
                <c:pt idx="1">
                  <c:v>2021年</c:v>
                </c:pt>
                <c:pt idx="2">
                  <c:v>22年与21年比</c:v>
                </c:pt>
              </c:strCache>
            </c:strRef>
          </c:cat>
          <c:val>
            <c:numRef>
              <c:f>Sheet1!$C$2:$C$4</c:f>
              <c:numCache>
                <c:formatCode>General</c:formatCode>
                <c:ptCount val="3"/>
                <c:pt idx="0">
                  <c:v>44411.43</c:v>
                </c:pt>
                <c:pt idx="1">
                  <c:v>50208.62</c:v>
                </c:pt>
                <c:pt idx="2">
                  <c:v>-5797.19</c:v>
                </c:pt>
              </c:numCache>
            </c:numRef>
          </c:val>
        </c:ser>
        <c:ser>
          <c:idx val="2"/>
          <c:order val="2"/>
          <c:tx>
            <c:strRef>
              <c:f>Sheet1!#REF!</c:f>
              <c:strCache>
                <c:ptCount val="1"/>
                <c:pt idx="0">
                  <c:v/>
                </c:pt>
              </c:strCache>
            </c:strRef>
          </c:tx>
          <c:spPr>
            <a:solidFill>
              <a:schemeClr val="accent3"/>
            </a:solidFill>
            <a:ln>
              <a:noFill/>
            </a:ln>
            <a:effectLst/>
          </c:spPr>
          <c:invertIfNegative val="0"/>
          <c:dLbls>
            <c:delete val="1"/>
          </c:dLbls>
          <c:cat>
            <c:strRef>
              <c:f>Sheet1!$A$2:$A$4</c:f>
              <c:strCache>
                <c:ptCount val="3"/>
                <c:pt idx="0">
                  <c:v>2022年</c:v>
                </c:pt>
                <c:pt idx="1">
                  <c:v>2021年</c:v>
                </c:pt>
                <c:pt idx="2">
                  <c:v>22年与21年比</c:v>
                </c:pt>
              </c:strCache>
            </c:strRef>
          </c:cat>
          <c:val>
            <c:numRef>
              <c:f>Sheet1!#REF!</c:f>
              <c:numCache>
                <c:formatCode>General</c:formatCode>
                <c:ptCount val="1"/>
                <c:pt idx="0">
                  <c:v>1</c:v>
                </c:pt>
              </c:numCache>
            </c:numRef>
          </c:val>
        </c:ser>
        <c:dLbls>
          <c:showLegendKey val="0"/>
          <c:showVal val="0"/>
          <c:showCatName val="0"/>
          <c:showSerName val="0"/>
          <c:showPercent val="0"/>
          <c:showBubbleSize val="0"/>
        </c:dLbls>
        <c:gapWidth val="246"/>
        <c:overlap val="-28"/>
        <c:axId val="459503230"/>
        <c:axId val="720950659"/>
      </c:barChart>
      <c:catAx>
        <c:axId val="45950323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20950659"/>
        <c:crosses val="autoZero"/>
        <c:auto val="1"/>
        <c:lblAlgn val="ctr"/>
        <c:lblOffset val="100"/>
        <c:noMultiLvlLbl val="0"/>
      </c:catAx>
      <c:valAx>
        <c:axId val="720950659"/>
        <c:scaling>
          <c:orientation val="minMax"/>
        </c:scaling>
        <c:delete val="0"/>
        <c:axPos val="l"/>
        <c:majorGridlines>
          <c:spPr>
            <a:ln w="9525" cap="flat" cmpd="sng" algn="ctr">
              <a:solidFill>
                <a:schemeClr val="bg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459503230"/>
        <c:crosses val="autoZero"/>
        <c:crossBetween val="between"/>
      </c:valAx>
      <c:spPr>
        <a:noFill/>
        <a:ln>
          <a:noFill/>
        </a:ln>
        <a:effectLst/>
      </c:spPr>
    </c:plotArea>
    <c:legend>
      <c:legendPos val="b"/>
      <c:legendEntry>
        <c:idx val="2"/>
        <c:delete val="1"/>
      </c:legendEntry>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一般公共预算财政拨款支出</c:v>
                </c:pt>
              </c:strCache>
            </c:strRef>
          </c:tx>
          <c:spPr>
            <a:solidFill>
              <a:schemeClr val="accent1"/>
            </a:solidFill>
            <a:ln>
              <a:noFill/>
            </a:ln>
            <a:effectLst/>
          </c:spPr>
          <c:invertIfNegative val="0"/>
          <c:dLbls>
            <c:delete val="1"/>
          </c:dLbls>
          <c:cat>
            <c:strRef>
              <c:f>Sheet1!$A$2:$A$4</c:f>
              <c:strCache>
                <c:ptCount val="3"/>
                <c:pt idx="0">
                  <c:v>2022年</c:v>
                </c:pt>
                <c:pt idx="1">
                  <c:v>2021年</c:v>
                </c:pt>
                <c:pt idx="2">
                  <c:v>22年与21年比</c:v>
                </c:pt>
              </c:strCache>
            </c:strRef>
          </c:cat>
          <c:val>
            <c:numRef>
              <c:f>Sheet1!$B$2:$B$4</c:f>
              <c:numCache>
                <c:formatCode>General</c:formatCode>
                <c:ptCount val="3"/>
                <c:pt idx="0">
                  <c:v>44411.43</c:v>
                </c:pt>
                <c:pt idx="1">
                  <c:v>50208.62</c:v>
                </c:pt>
                <c:pt idx="2">
                  <c:v>-5797.19</c:v>
                </c:pt>
              </c:numCache>
            </c:numRef>
          </c:val>
        </c:ser>
        <c:ser>
          <c:idx val="1"/>
          <c:order val="1"/>
          <c:tx>
            <c:strRef>
              <c:f>Sheet1!#REF!</c:f>
              <c:strCache>
                <c:ptCount val="1"/>
                <c:pt idx="0">
                  <c:v/>
                </c:pt>
              </c:strCache>
            </c:strRef>
          </c:tx>
          <c:spPr>
            <a:solidFill>
              <a:schemeClr val="accent2"/>
            </a:solidFill>
            <a:ln>
              <a:noFill/>
            </a:ln>
            <a:effectLst/>
          </c:spPr>
          <c:invertIfNegative val="0"/>
          <c:dLbls>
            <c:delete val="1"/>
          </c:dLbls>
          <c:cat>
            <c:strRef>
              <c:f>Sheet1!$A$2:$A$4</c:f>
              <c:strCache>
                <c:ptCount val="3"/>
                <c:pt idx="0">
                  <c:v>2022年</c:v>
                </c:pt>
                <c:pt idx="1">
                  <c:v>2021年</c:v>
                </c:pt>
                <c:pt idx="2">
                  <c:v>22年与21年比</c:v>
                </c:pt>
              </c:strCache>
            </c:strRef>
          </c:cat>
          <c:val>
            <c:numRef>
              <c:f>Sheet1!#REF!</c:f>
              <c:numCache>
                <c:formatCode>General</c:formatCode>
                <c:ptCount val="1"/>
                <c:pt idx="0">
                  <c:v>1</c:v>
                </c:pt>
              </c:numCache>
            </c:numRef>
          </c:val>
        </c:ser>
        <c:ser>
          <c:idx val="2"/>
          <c:order val="2"/>
          <c:tx>
            <c:strRef>
              <c:f>Sheet1!#REF!</c:f>
              <c:strCache>
                <c:ptCount val="1"/>
                <c:pt idx="0">
                  <c:v/>
                </c:pt>
              </c:strCache>
            </c:strRef>
          </c:tx>
          <c:spPr>
            <a:solidFill>
              <a:schemeClr val="accent3"/>
            </a:solidFill>
            <a:ln>
              <a:noFill/>
            </a:ln>
            <a:effectLst/>
          </c:spPr>
          <c:invertIfNegative val="0"/>
          <c:dLbls>
            <c:delete val="1"/>
          </c:dLbls>
          <c:cat>
            <c:strRef>
              <c:f>Sheet1!$A$2:$A$4</c:f>
              <c:strCache>
                <c:ptCount val="3"/>
                <c:pt idx="0">
                  <c:v>2022年</c:v>
                </c:pt>
                <c:pt idx="1">
                  <c:v>2021年</c:v>
                </c:pt>
                <c:pt idx="2">
                  <c:v>22年与21年比</c:v>
                </c:pt>
              </c:strCache>
            </c:strRef>
          </c:cat>
          <c:val>
            <c:numRef>
              <c:f>Sheet1!#REF!</c:f>
              <c:numCache>
                <c:formatCode>General</c:formatCode>
                <c:ptCount val="1"/>
                <c:pt idx="0">
                  <c:v>1</c:v>
                </c:pt>
              </c:numCache>
            </c:numRef>
          </c:val>
        </c:ser>
        <c:dLbls>
          <c:showLegendKey val="0"/>
          <c:showVal val="0"/>
          <c:showCatName val="0"/>
          <c:showSerName val="0"/>
          <c:showPercent val="0"/>
          <c:showBubbleSize val="0"/>
        </c:dLbls>
        <c:gapWidth val="246"/>
        <c:overlap val="-28"/>
        <c:axId val="585652844"/>
        <c:axId val="773056581"/>
      </c:barChart>
      <c:catAx>
        <c:axId val="585652844"/>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73056581"/>
        <c:crosses val="autoZero"/>
        <c:auto val="1"/>
        <c:lblAlgn val="ctr"/>
        <c:lblOffset val="100"/>
        <c:noMultiLvlLbl val="0"/>
      </c:catAx>
      <c:valAx>
        <c:axId val="773056581"/>
        <c:scaling>
          <c:orientation val="minMax"/>
        </c:scaling>
        <c:delete val="0"/>
        <c:axPos val="l"/>
        <c:majorGridlines>
          <c:spPr>
            <a:ln w="9525" cap="flat" cmpd="sng" algn="ctr">
              <a:solidFill>
                <a:schemeClr val="bg1">
                  <a:lumMod val="902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85652844"/>
        <c:crosses val="autoZero"/>
        <c:crossBetween val="between"/>
      </c:valAx>
      <c:spPr>
        <a:noFill/>
        <a:ln>
          <a:noFill/>
        </a:ln>
        <a:effectLst/>
      </c:spPr>
    </c:plotArea>
    <c:legend>
      <c:legendPos val="b"/>
      <c:legendEntry>
        <c:idx val="1"/>
        <c:delete val="1"/>
      </c:legendEntry>
      <c:legendEntry>
        <c:idx val="2"/>
        <c:delete val="1"/>
      </c:legendEntry>
      <c:layout>
        <c:manualLayout>
          <c:xMode val="edge"/>
          <c:yMode val="edge"/>
          <c:x val="0.30852863010389"/>
          <c:y val="0.903314917127072"/>
        </c:manualLayout>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0" vertOverflow="ellipsis" vert="horz" wrap="square" anchor="ctr" anchorCtr="1"/>
        <a:lstStyle/>
        <a:p>
          <a:pPr>
            <a:defRPr lang="zh-CN" sz="1400" b="1" i="0" u="none" strike="noStrike" kern="1200" baseline="0">
              <a:solidFill>
                <a:schemeClr val="dk1">
                  <a:lumMod val="75000"/>
                  <a:lumOff val="25000"/>
                </a:schemeClr>
              </a:solidFill>
              <a:latin typeface="+mn-lt"/>
              <a:ea typeface="+mn-ea"/>
              <a:cs typeface="+mn-cs"/>
            </a:defRPr>
          </a:pPr>
        </a:p>
      </c:txPr>
    </c:title>
    <c:autoTitleDeleted val="0"/>
    <c:plotArea>
      <c:layout/>
      <c:pieChart>
        <c:varyColors val="1"/>
        <c:ser>
          <c:idx val="0"/>
          <c:order val="0"/>
          <c:tx>
            <c:strRef>
              <c:f>Sheet1!$B$1</c:f>
              <c:strCache>
                <c:ptCount val="1"/>
                <c:pt idx="0">
                  <c:v>百分比</c:v>
                </c:pt>
              </c:strCache>
            </c:strRef>
          </c:tx>
          <c:spPr/>
          <c:explosion val="0"/>
          <c:dPt>
            <c:idx val="0"/>
            <c:bubble3D val="0"/>
            <c:spPr>
              <a:solidFill>
                <a:schemeClr val="accent1"/>
              </a:solidFill>
              <a:ln>
                <a:solidFill>
                  <a:schemeClr val="bg1"/>
                </a:solidFill>
              </a:ln>
              <a:effectLst/>
            </c:spPr>
          </c:dPt>
          <c:dPt>
            <c:idx val="1"/>
            <c:bubble3D val="0"/>
            <c:spPr>
              <a:solidFill>
                <a:schemeClr val="accent2"/>
              </a:solidFill>
              <a:ln>
                <a:solidFill>
                  <a:schemeClr val="bg1"/>
                </a:solidFill>
              </a:ln>
              <a:effectLst/>
            </c:spPr>
          </c:dPt>
          <c:dPt>
            <c:idx val="2"/>
            <c:bubble3D val="0"/>
            <c:spPr>
              <a:solidFill>
                <a:schemeClr val="accent3"/>
              </a:solidFill>
              <a:ln>
                <a:solidFill>
                  <a:schemeClr val="bg1"/>
                </a:solidFill>
              </a:ln>
              <a:effectLst/>
            </c:spPr>
          </c:dPt>
          <c:dPt>
            <c:idx val="3"/>
            <c:bubble3D val="0"/>
            <c:spPr>
              <a:solidFill>
                <a:schemeClr val="accent4"/>
              </a:solidFill>
              <a:ln>
                <a:solidFill>
                  <a:schemeClr val="bg1"/>
                </a:solidFill>
              </a:ln>
              <a:effectLst/>
            </c:spPr>
          </c:dPt>
          <c:dPt>
            <c:idx val="4"/>
            <c:bubble3D val="0"/>
            <c:spPr>
              <a:solidFill>
                <a:schemeClr val="accent5"/>
              </a:solidFill>
              <a:ln>
                <a:solidFill>
                  <a:schemeClr val="bg1"/>
                </a:solidFill>
              </a:ln>
              <a:effectLst/>
            </c:spPr>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一般公共服务支出</c:v>
                </c:pt>
                <c:pt idx="1">
                  <c:v>教育支出</c:v>
                </c:pt>
                <c:pt idx="2">
                  <c:v>科学技术支出</c:v>
                </c:pt>
                <c:pt idx="3">
                  <c:v>社会保障和就业支出</c:v>
                </c:pt>
                <c:pt idx="4">
                  <c:v>债务付息支出</c:v>
                </c:pt>
              </c:strCache>
            </c:strRef>
          </c:cat>
          <c:val>
            <c:numRef>
              <c:f>Sheet1!$B$2:$B$6</c:f>
              <c:numCache>
                <c:formatCode>General</c:formatCode>
                <c:ptCount val="5"/>
                <c:pt idx="1" c:formatCode="0.00%">
                  <c:v>0.9871</c:v>
                </c:pt>
                <c:pt idx="2" c:formatCode="0.00%">
                  <c:v>0.0021</c:v>
                </c:pt>
                <c:pt idx="3" c:formatCode="0.00%">
                  <c:v>0.0002</c:v>
                </c:pt>
                <c:pt idx="4" c:formatCode="0.00%">
                  <c:v>0.0106</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百分比</c:v>
                </c:pt>
              </c:strCache>
            </c:strRef>
          </c:tx>
          <c:spPr/>
          <c:explosion val="0"/>
          <c:dPt>
            <c:idx val="0"/>
            <c:bubble3D val="0"/>
            <c:spPr>
              <a:solidFill>
                <a:schemeClr val="accent1"/>
              </a:solidFill>
              <a:ln>
                <a:solidFill>
                  <a:schemeClr val="bg1"/>
                </a:solidFill>
              </a:ln>
              <a:effectLst/>
            </c:spPr>
          </c:dPt>
          <c:dPt>
            <c:idx val="1"/>
            <c:bubble3D val="0"/>
            <c:spPr>
              <a:solidFill>
                <a:schemeClr val="accent2"/>
              </a:solidFill>
              <a:ln>
                <a:solidFill>
                  <a:schemeClr val="bg1"/>
                </a:solidFill>
              </a:ln>
              <a:effectLst/>
            </c:spPr>
          </c:dPt>
          <c:dPt>
            <c:idx val="2"/>
            <c:bubble3D val="0"/>
            <c:spPr>
              <a:solidFill>
                <a:schemeClr val="accent3"/>
              </a:solidFill>
              <a:ln>
                <a:solidFill>
                  <a:schemeClr val="bg1"/>
                </a:solidFill>
              </a:ln>
              <a:effectLst/>
            </c:spPr>
          </c:dPt>
          <c:dLbls>
            <c:spPr>
              <a:noFill/>
              <a:ln>
                <a:noFill/>
              </a:ln>
              <a:effectLst/>
            </c:spPr>
            <c:txPr>
              <a:bodyPr rot="0" spcFirstLastPara="0" vertOverflow="ellipsis" vert="horz" wrap="square" lIns="38100" tIns="19050" rIns="38100" bIns="19050" anchor="ctr" anchorCtr="1"/>
              <a:lstStyle/>
              <a:p>
                <a:pPr>
                  <a:defRPr lang="zh-CN" sz="1000" b="0" i="0" u="none" strike="noStrike" kern="1200" baseline="0">
                    <a:solidFill>
                      <a:schemeClr val="tx1">
                        <a:lumMod val="75000"/>
                        <a:lumOff val="25000"/>
                      </a:schemeClr>
                    </a:solidFill>
                    <a:latin typeface="+mn-lt"/>
                    <a:ea typeface="+mn-ea"/>
                    <a:cs typeface="+mn-cs"/>
                  </a:defRPr>
                </a:pPr>
              </a:p>
            </c:txPr>
            <c:dLblPos val="inEnd"/>
            <c:showLegendKey val="0"/>
            <c:showVal val="0"/>
            <c:showCatName val="0"/>
            <c:showSerName val="0"/>
            <c:showPercent val="1"/>
            <c:showBubbleSize val="0"/>
            <c:showLeaderLines val="1"/>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因公出国（境）费</c:v>
                </c:pt>
                <c:pt idx="1">
                  <c:v>公务用车购置及运行维护费</c:v>
                </c:pt>
                <c:pt idx="2">
                  <c:v>公务接待费</c:v>
                </c:pt>
              </c:strCache>
            </c:strRef>
          </c:cat>
          <c:val>
            <c:numRef>
              <c:f>Sheet1!$B$2:$B$4</c:f>
              <c:numCache>
                <c:formatCode>General</c:formatCode>
                <c:ptCount val="3"/>
                <c:pt idx="0">
                  <c:v>0</c:v>
                </c:pt>
                <c:pt idx="1" c:formatCode="0.00%">
                  <c:v>0.9043</c:v>
                </c:pt>
                <c:pt idx="2" c:formatCode="0.00%">
                  <c:v>0.0957</c:v>
                </c:pt>
              </c:numCache>
            </c:numRef>
          </c:val>
        </c:ser>
        <c:dLbls>
          <c:showLegendKey val="0"/>
          <c:showVal val="0"/>
          <c:showCatName val="0"/>
          <c:showSerName val="0"/>
          <c:showPercent val="1"/>
          <c:showBubbleSize val="0"/>
          <c:showLeaderLines val="1"/>
        </c:dLbls>
        <c:firstSliceAng val="0"/>
      </c:pieChart>
      <c:spPr>
        <a:noFill/>
        <a:ln>
          <a:noFill/>
        </a:ln>
        <a:effectLst/>
      </c:spPr>
    </c:plotArea>
    <c:legend>
      <c:legendPos val="b"/>
      <c:layout/>
      <c:overlay val="0"/>
      <c:spPr>
        <a:noFill/>
        <a:ln>
          <a:noFill/>
        </a:ln>
        <a:effectLst/>
      </c:spPr>
      <c:txPr>
        <a:bodyPr rot="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bg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8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solidFill>
          <a:schemeClr val="bg1"/>
        </a:soli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bg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1008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solidFill>
          <a:schemeClr val="bg1"/>
        </a:soli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bg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008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solidFill>
          <a:schemeClr val="bg1"/>
        </a:soli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bg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bg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1008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solidFill>
          <a:schemeClr val="bg1"/>
        </a:soli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bg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0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bg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四川省财政厅</Company>
  <Pages>18</Pages>
  <Words>1017</Words>
  <Characters>5798</Characters>
  <Lines>48</Lines>
  <Paragraphs>13</Paragraphs>
  <TotalTime>0</TotalTime>
  <ScaleCrop>false</ScaleCrop>
  <LinksUpToDate>false</LinksUpToDate>
  <CharactersWithSpaces>6802</CharactersWithSpaces>
  <Application>WPS Office_12.1.0.15374_F1E327BC-269C-435d-A152-05C5408002CA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2020-08-05T01:49:00Z</dcterms:created>
  <dc:creator>曹颖</dc:creator>
  <cp:lastModifiedBy>蒋飞海</cp:lastModifiedBy>
  <cp:lastPrinted>2023-07-31T02:35:00Z</cp:lastPrinted>
  <dcterms:modified xsi:type="dcterms:W3CDTF">2023-09-04T07:33:07Z</dcterms:modified>
  <dc:title>四川省***</dc:title>
  <cp:revision>62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2052-12.1.0.15374</vt:lpwstr>
  </property>
  <property fmtid="{D5CDD505-2E9C-101B-9397-08002B2CF9AE}" pid="3" name="ICV">
    <vt:lpwstr>74470C3010B84147913424EC536BD1AB_12</vt:lpwstr>
  </property>
</Properties>
</file>