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A42F8">
      <w:pPr>
        <w:ind w:firstLine="640"/>
        <w:rPr>
          <w:rFonts w:ascii="仿宋_GB2312" w:eastAsia="仿宋_GB2312"/>
          <w:color w:val="auto"/>
          <w:highlight w:val="none"/>
        </w:rPr>
      </w:pPr>
      <w:bookmarkStart w:id="0" w:name="_Hlk65231521"/>
      <w:bookmarkEnd w:id="0"/>
    </w:p>
    <w:p w14:paraId="679191BB">
      <w:pPr>
        <w:ind w:firstLine="640"/>
        <w:rPr>
          <w:rFonts w:ascii="仿宋_GB2312" w:eastAsia="仿宋_GB2312"/>
          <w:color w:val="auto"/>
          <w:highlight w:val="none"/>
        </w:rPr>
      </w:pPr>
    </w:p>
    <w:p w14:paraId="62236158">
      <w:pPr>
        <w:ind w:firstLine="640"/>
        <w:rPr>
          <w:rFonts w:ascii="仿宋_GB2312" w:eastAsia="仿宋_GB2312"/>
          <w:color w:val="auto"/>
          <w:highlight w:val="none"/>
        </w:rPr>
      </w:pPr>
    </w:p>
    <w:p w14:paraId="44D3AB49">
      <w:pPr>
        <w:ind w:firstLine="640"/>
        <w:rPr>
          <w:rFonts w:ascii="仿宋_GB2312" w:eastAsia="仿宋_GB2312"/>
          <w:color w:val="auto"/>
          <w:highlight w:val="none"/>
        </w:rPr>
      </w:pPr>
      <w:bookmarkStart w:id="18" w:name="_GoBack"/>
      <w:bookmarkEnd w:id="18"/>
    </w:p>
    <w:p w14:paraId="4A9C84F7">
      <w:pPr>
        <w:ind w:firstLine="640"/>
        <w:rPr>
          <w:rFonts w:ascii="方正小标宋简体" w:eastAsia="方正小标宋简体"/>
          <w:color w:val="auto"/>
          <w:highlight w:val="none"/>
        </w:rPr>
      </w:pPr>
    </w:p>
    <w:p w14:paraId="2205437C">
      <w:pPr>
        <w:jc w:val="center"/>
        <w:rPr>
          <w:rFonts w:ascii="方正小标宋简体" w:eastAsia="方正小标宋简体"/>
          <w:color w:val="auto"/>
          <w:sz w:val="44"/>
          <w:highlight w:val="none"/>
          <w:lang w:val="en-US"/>
        </w:rPr>
      </w:pPr>
      <w:r>
        <w:rPr>
          <w:rFonts w:hint="eastAsia" w:ascii="方正小标宋简体" w:eastAsia="方正小标宋简体"/>
          <w:color w:val="auto"/>
          <w:sz w:val="44"/>
          <w:highlight w:val="none"/>
          <w:lang w:val="en-US"/>
        </w:rPr>
        <w:t>自然人代开劳务报酬发票开票缴税一体化</w:t>
      </w:r>
    </w:p>
    <w:p w14:paraId="01AD44AE">
      <w:pPr>
        <w:jc w:val="center"/>
        <w:rPr>
          <w:rFonts w:ascii="方正小标宋简体" w:eastAsia="方正小标宋简体"/>
          <w:color w:val="auto"/>
          <w:sz w:val="44"/>
          <w:highlight w:val="none"/>
        </w:rPr>
      </w:pPr>
      <w:r>
        <w:rPr>
          <w:rFonts w:hint="eastAsia" w:ascii="方正小标宋简体" w:eastAsia="方正小标宋简体"/>
          <w:color w:val="auto"/>
          <w:sz w:val="44"/>
          <w:highlight w:val="none"/>
        </w:rPr>
        <w:t>操作指引</w:t>
      </w:r>
    </w:p>
    <w:p w14:paraId="1FB77CD0">
      <w:pPr>
        <w:ind w:firstLine="640"/>
        <w:rPr>
          <w:rFonts w:ascii="仿宋_GB2312" w:eastAsia="仿宋_GB2312"/>
          <w:color w:val="auto"/>
          <w:highlight w:val="none"/>
        </w:rPr>
      </w:pPr>
    </w:p>
    <w:p w14:paraId="054B13C0">
      <w:pPr>
        <w:ind w:firstLine="640"/>
        <w:rPr>
          <w:rFonts w:ascii="仿宋_GB2312" w:eastAsia="仿宋_GB2312"/>
          <w:color w:val="auto"/>
          <w:highlight w:val="none"/>
        </w:rPr>
      </w:pPr>
    </w:p>
    <w:p w14:paraId="3620BD72">
      <w:pPr>
        <w:ind w:firstLine="640" w:firstLineChars="200"/>
        <w:rPr>
          <w:rFonts w:ascii="仿宋_GB2312" w:eastAsia="仿宋_GB2312"/>
          <w:color w:val="auto"/>
          <w:highlight w:val="none"/>
        </w:rPr>
      </w:pPr>
      <w:r>
        <w:rPr>
          <w:rFonts w:ascii="仿宋_GB2312" w:eastAsia="仿宋_GB2312"/>
          <w:color w:val="auto"/>
          <w:highlight w:val="none"/>
        </w:rPr>
        <w:t>税务总局</w:t>
      </w:r>
      <w:r>
        <w:rPr>
          <w:rFonts w:hint="eastAsia" w:ascii="仿宋_GB2312" w:eastAsia="仿宋_GB2312"/>
          <w:color w:val="auto"/>
          <w:highlight w:val="none"/>
        </w:rPr>
        <w:t>基于</w:t>
      </w:r>
      <w:r>
        <w:rPr>
          <w:rFonts w:hint="eastAsia" w:ascii="仿宋_GB2312" w:eastAsia="仿宋_GB2312"/>
          <w:color w:val="auto"/>
          <w:highlight w:val="none"/>
          <w:lang w:val="en-US"/>
        </w:rPr>
        <w:t>个人所得税</w:t>
      </w:r>
      <w:r>
        <w:rPr>
          <w:rFonts w:hint="eastAsia" w:ascii="仿宋_GB2312" w:eastAsia="仿宋_GB2312"/>
          <w:color w:val="auto"/>
          <w:highlight w:val="none"/>
        </w:rPr>
        <w:t>APP全国统一渠道，</w:t>
      </w:r>
      <w:r>
        <w:rPr>
          <w:rFonts w:hint="eastAsia" w:ascii="仿宋_GB2312" w:eastAsia="仿宋_GB2312"/>
          <w:color w:val="auto"/>
          <w:highlight w:val="none"/>
          <w:lang w:val="en-US"/>
        </w:rPr>
        <w:t>为纳税人</w:t>
      </w:r>
      <w:r>
        <w:rPr>
          <w:rFonts w:hint="eastAsia" w:ascii="仿宋_GB2312" w:eastAsia="仿宋_GB2312"/>
          <w:color w:val="auto"/>
          <w:highlight w:val="none"/>
        </w:rPr>
        <w:t>提供劳务报酬</w:t>
      </w:r>
      <w:r>
        <w:rPr>
          <w:rFonts w:hint="eastAsia" w:ascii="仿宋_GB2312" w:eastAsia="仿宋_GB2312"/>
          <w:color w:val="auto"/>
          <w:highlight w:val="none"/>
          <w:lang w:val="en-US"/>
        </w:rPr>
        <w:t>代开发</w:t>
      </w:r>
      <w:r>
        <w:rPr>
          <w:rFonts w:hint="eastAsia" w:ascii="仿宋_GB2312" w:eastAsia="仿宋_GB2312"/>
          <w:color w:val="auto"/>
          <w:highlight w:val="none"/>
        </w:rPr>
        <w:t>票</w:t>
      </w:r>
      <w:r>
        <w:rPr>
          <w:rFonts w:hint="eastAsia" w:ascii="仿宋_GB2312" w:eastAsia="仿宋_GB2312"/>
          <w:color w:val="auto"/>
          <w:highlight w:val="none"/>
          <w:lang w:val="en-US"/>
        </w:rPr>
        <w:t>服务</w:t>
      </w:r>
      <w:r>
        <w:rPr>
          <w:rFonts w:hint="eastAsia" w:ascii="仿宋_GB2312" w:eastAsia="仿宋_GB2312"/>
          <w:color w:val="auto"/>
          <w:highlight w:val="none"/>
        </w:rPr>
        <w:t>，实现自然人代开发票及相关税费缴纳的一体化应用。本指引向您介绍如何通过</w:t>
      </w:r>
      <w:r>
        <w:rPr>
          <w:rFonts w:hint="eastAsia" w:ascii="仿宋_GB2312" w:eastAsia="仿宋_GB2312"/>
          <w:color w:val="auto"/>
          <w:highlight w:val="none"/>
          <w:lang w:val="en-US"/>
        </w:rPr>
        <w:t>自然人电子税务局WEB端扣缴功能、个人所得税APP以及自然人电子税务局税务端办理</w:t>
      </w:r>
      <w:r>
        <w:rPr>
          <w:rFonts w:ascii="仿宋_GB2312" w:eastAsia="仿宋_GB2312"/>
          <w:color w:val="auto"/>
          <w:highlight w:val="none"/>
        </w:rPr>
        <w:t>劳务报酬发票</w:t>
      </w:r>
      <w:r>
        <w:rPr>
          <w:rFonts w:hint="eastAsia" w:ascii="仿宋_GB2312" w:eastAsia="仿宋_GB2312"/>
          <w:color w:val="auto"/>
          <w:highlight w:val="none"/>
          <w:lang w:val="en-US"/>
        </w:rPr>
        <w:t>代开相关业务</w:t>
      </w:r>
      <w:r>
        <w:rPr>
          <w:rFonts w:hint="eastAsia" w:ascii="仿宋_GB2312" w:eastAsia="仿宋_GB2312"/>
          <w:color w:val="auto"/>
          <w:highlight w:val="none"/>
        </w:rPr>
        <w:t>。</w:t>
      </w:r>
    </w:p>
    <w:p w14:paraId="6214A7EA">
      <w:pPr>
        <w:ind w:firstLine="640"/>
        <w:rPr>
          <w:rFonts w:ascii="仿宋_GB2312" w:eastAsia="仿宋_GB2312"/>
          <w:color w:val="auto"/>
          <w:highlight w:val="none"/>
        </w:rPr>
      </w:pPr>
    </w:p>
    <w:p w14:paraId="596B1502">
      <w:pPr>
        <w:ind w:firstLine="640"/>
        <w:rPr>
          <w:rFonts w:ascii="仿宋_GB2312" w:eastAsia="仿宋_GB2312"/>
          <w:color w:val="auto"/>
          <w:highlight w:val="none"/>
        </w:rPr>
      </w:pPr>
    </w:p>
    <w:p w14:paraId="3BFA1CE6">
      <w:pPr>
        <w:ind w:firstLine="640"/>
        <w:jc w:val="right"/>
        <w:rPr>
          <w:rFonts w:ascii="仿宋_GB2312" w:eastAsia="仿宋_GB2312"/>
          <w:color w:val="auto"/>
          <w:highlight w:val="none"/>
          <w:lang w:val="en-US"/>
        </w:rPr>
      </w:pPr>
      <w:r>
        <w:rPr>
          <w:rFonts w:hint="eastAsia" w:ascii="仿宋_GB2312" w:eastAsia="仿宋_GB2312"/>
          <w:color w:val="auto"/>
          <w:highlight w:val="none"/>
          <w:lang w:val="en-US"/>
        </w:rPr>
        <w:t>2025</w:t>
      </w:r>
      <w:r>
        <w:rPr>
          <w:rFonts w:hint="eastAsia" w:ascii="仿宋_GB2312" w:eastAsia="仿宋_GB2312"/>
          <w:color w:val="auto"/>
          <w:highlight w:val="none"/>
        </w:rPr>
        <w:t>年</w:t>
      </w:r>
      <w:r>
        <w:rPr>
          <w:rFonts w:hint="eastAsia" w:ascii="仿宋_GB2312" w:eastAsia="仿宋_GB2312"/>
          <w:color w:val="auto"/>
          <w:highlight w:val="none"/>
          <w:lang w:val="en-US" w:eastAsia="zh-CN"/>
        </w:rPr>
        <w:t>3</w:t>
      </w:r>
      <w:r>
        <w:rPr>
          <w:rFonts w:hint="eastAsia" w:ascii="仿宋_GB2312" w:eastAsia="仿宋_GB2312"/>
          <w:color w:val="auto"/>
          <w:highlight w:val="none"/>
        </w:rPr>
        <w:t>月</w:t>
      </w:r>
      <w:r>
        <w:rPr>
          <w:rFonts w:hint="eastAsia" w:ascii="仿宋_GB2312" w:eastAsia="仿宋_GB2312"/>
          <w:color w:val="auto"/>
          <w:highlight w:val="none"/>
          <w:lang w:val="en-US"/>
        </w:rPr>
        <w:t>1</w:t>
      </w:r>
      <w:r>
        <w:rPr>
          <w:rFonts w:hint="eastAsia" w:ascii="仿宋_GB2312" w:eastAsia="仿宋_GB2312"/>
          <w:color w:val="auto"/>
          <w:highlight w:val="none"/>
          <w:lang w:val="en-US" w:eastAsia="zh-CN"/>
        </w:rPr>
        <w:t>7</w:t>
      </w:r>
      <w:r>
        <w:rPr>
          <w:rFonts w:hint="eastAsia" w:ascii="仿宋_GB2312" w:eastAsia="仿宋_GB2312"/>
          <w:color w:val="auto"/>
          <w:highlight w:val="none"/>
          <w:lang w:val="en-US"/>
        </w:rPr>
        <w:t>日</w:t>
      </w:r>
    </w:p>
    <w:p w14:paraId="25B4740C">
      <w:pPr>
        <w:rPr>
          <w:rFonts w:ascii="仿宋_GB2312" w:eastAsia="仿宋_GB2312"/>
          <w:color w:val="auto"/>
          <w:highlight w:val="none"/>
        </w:rPr>
        <w:sectPr>
          <w:headerReference r:id="rId5" w:type="default"/>
          <w:headerReference r:id="rId6" w:type="even"/>
          <w:type w:val="continuous"/>
          <w:pgSz w:w="11910" w:h="16840"/>
          <w:pgMar w:top="1580" w:right="1380" w:bottom="280" w:left="1680" w:header="720" w:footer="720" w:gutter="0"/>
          <w:cols w:space="720" w:num="1"/>
        </w:sectPr>
      </w:pPr>
    </w:p>
    <w:sdt>
      <w:sdtPr>
        <w:rPr>
          <w:rFonts w:hint="eastAsia" w:ascii="仿宋_GB2312" w:hAnsi="黑体" w:eastAsia="仿宋_GB2312" w:cs="黑体"/>
          <w:color w:val="auto"/>
          <w:szCs w:val="24"/>
          <w:highlight w:val="none"/>
          <w:lang w:val="zh-CN" w:bidi="zh-CN"/>
        </w:rPr>
        <w:id w:val="7"/>
      </w:sdtPr>
      <w:sdtEndPr>
        <w:rPr>
          <w:rFonts w:hint="eastAsia" w:ascii="仿宋_GB2312" w:hAnsi="宋体" w:eastAsia="仿宋_GB2312" w:cs="黑体"/>
          <w:color w:val="auto"/>
          <w:szCs w:val="32"/>
          <w:highlight w:val="none"/>
          <w:lang w:val="zh-CN" w:bidi="zh-CN"/>
        </w:rPr>
      </w:sdtEndPr>
      <w:sdtContent>
        <w:p w14:paraId="7BE369B6">
          <w:pPr>
            <w:pStyle w:val="31"/>
            <w:jc w:val="center"/>
            <w:outlineLvl w:val="0"/>
            <w:rPr>
              <w:rFonts w:ascii="仿宋_GB2312" w:hAnsi="黑体" w:eastAsia="仿宋_GB2312"/>
              <w:color w:val="auto"/>
              <w:sz w:val="44"/>
              <w:szCs w:val="44"/>
              <w:highlight w:val="none"/>
            </w:rPr>
          </w:pPr>
          <w:bookmarkStart w:id="1" w:name="_Toc583251381"/>
          <w:bookmarkStart w:id="2" w:name="_Toc22705"/>
          <w:r>
            <w:rPr>
              <w:rFonts w:hint="eastAsia" w:ascii="仿宋_GB2312" w:hAnsi="黑体" w:eastAsia="仿宋_GB2312"/>
              <w:color w:val="auto"/>
              <w:sz w:val="44"/>
              <w:szCs w:val="44"/>
              <w:highlight w:val="none"/>
              <w:lang w:val="zh-CN"/>
            </w:rPr>
            <w:t>目  录</w:t>
          </w:r>
          <w:bookmarkEnd w:id="1"/>
          <w:bookmarkEnd w:id="2"/>
        </w:p>
        <w:p w14:paraId="453F1E37">
          <w:pPr>
            <w:pStyle w:val="11"/>
            <w:tabs>
              <w:tab w:val="right" w:leader="dot" w:pos="8850"/>
            </w:tabs>
            <w:rPr>
              <w:color w:val="auto"/>
              <w:highlight w:val="none"/>
            </w:rPr>
          </w:pPr>
          <w:r>
            <w:rPr>
              <w:rFonts w:hint="eastAsia" w:ascii="仿宋_GB2312" w:eastAsia="仿宋_GB2312"/>
              <w:b w:val="0"/>
              <w:bCs w:val="0"/>
              <w:color w:val="auto"/>
              <w:sz w:val="32"/>
              <w:szCs w:val="32"/>
              <w:highlight w:val="none"/>
            </w:rPr>
            <w:fldChar w:fldCharType="begin"/>
          </w:r>
          <w:r>
            <w:rPr>
              <w:rFonts w:hint="eastAsia" w:ascii="仿宋_GB2312" w:eastAsia="仿宋_GB2312"/>
              <w:b w:val="0"/>
              <w:bCs w:val="0"/>
              <w:color w:val="auto"/>
              <w:sz w:val="32"/>
              <w:szCs w:val="32"/>
              <w:highlight w:val="none"/>
            </w:rPr>
            <w:instrText xml:space="preserve"> TOC \o "1-3" \h \z \u </w:instrText>
          </w:r>
          <w:r>
            <w:rPr>
              <w:rFonts w:hint="eastAsia" w:ascii="仿宋_GB2312" w:eastAsia="仿宋_GB2312"/>
              <w:b w:val="0"/>
              <w:bCs w:val="0"/>
              <w:color w:val="auto"/>
              <w:sz w:val="32"/>
              <w:szCs w:val="32"/>
              <w:highlight w:val="none"/>
            </w:rPr>
            <w:fldChar w:fldCharType="separate"/>
          </w:r>
          <w:r>
            <w:rPr>
              <w:rFonts w:hint="eastAsia" w:ascii="仿宋_GB2312" w:eastAsia="仿宋_GB2312"/>
              <w:bCs w:val="0"/>
              <w:color w:val="auto"/>
              <w:szCs w:val="32"/>
              <w:highlight w:val="none"/>
            </w:rPr>
            <w:fldChar w:fldCharType="begin"/>
          </w:r>
          <w:r>
            <w:rPr>
              <w:rFonts w:hint="eastAsia" w:ascii="仿宋_GB2312" w:eastAsia="仿宋_GB2312"/>
              <w:bCs w:val="0"/>
              <w:color w:val="auto"/>
              <w:szCs w:val="32"/>
              <w:highlight w:val="none"/>
            </w:rPr>
            <w:instrText xml:space="preserve"> HYPERLINK \l _Toc22705 </w:instrText>
          </w:r>
          <w:r>
            <w:rPr>
              <w:rFonts w:hint="eastAsia" w:ascii="仿宋_GB2312" w:eastAsia="仿宋_GB2312"/>
              <w:bCs w:val="0"/>
              <w:color w:val="auto"/>
              <w:szCs w:val="32"/>
              <w:highlight w:val="none"/>
            </w:rPr>
            <w:fldChar w:fldCharType="separate"/>
          </w:r>
          <w:r>
            <w:rPr>
              <w:rFonts w:hint="eastAsia" w:ascii="仿宋_GB2312" w:hAnsi="黑体" w:eastAsia="仿宋_GB2312"/>
              <w:color w:val="auto"/>
              <w:szCs w:val="44"/>
              <w:highlight w:val="none"/>
              <w:lang w:val="zh-CN"/>
            </w:rPr>
            <w:t>目  录</w:t>
          </w:r>
          <w:r>
            <w:rPr>
              <w:color w:val="auto"/>
              <w:highlight w:val="none"/>
            </w:rPr>
            <w:tab/>
          </w:r>
          <w:r>
            <w:rPr>
              <w:color w:val="auto"/>
              <w:highlight w:val="none"/>
            </w:rPr>
            <w:fldChar w:fldCharType="begin"/>
          </w:r>
          <w:r>
            <w:rPr>
              <w:color w:val="auto"/>
              <w:highlight w:val="none"/>
            </w:rPr>
            <w:instrText xml:space="preserve"> PAGEREF _Toc22705 \h </w:instrText>
          </w:r>
          <w:r>
            <w:rPr>
              <w:color w:val="auto"/>
              <w:highlight w:val="none"/>
            </w:rPr>
            <w:fldChar w:fldCharType="separate"/>
          </w:r>
          <w:r>
            <w:rPr>
              <w:color w:val="auto"/>
              <w:highlight w:val="none"/>
            </w:rPr>
            <w:t>2</w:t>
          </w:r>
          <w:r>
            <w:rPr>
              <w:color w:val="auto"/>
              <w:highlight w:val="none"/>
            </w:rPr>
            <w:fldChar w:fldCharType="end"/>
          </w:r>
          <w:r>
            <w:rPr>
              <w:rFonts w:hint="eastAsia" w:ascii="仿宋_GB2312" w:eastAsia="仿宋_GB2312"/>
              <w:bCs w:val="0"/>
              <w:color w:val="auto"/>
              <w:szCs w:val="32"/>
              <w:highlight w:val="none"/>
            </w:rPr>
            <w:fldChar w:fldCharType="end"/>
          </w:r>
        </w:p>
        <w:p w14:paraId="5CE631C6">
          <w:pPr>
            <w:pStyle w:val="11"/>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_Toc4860 </w:instrText>
          </w:r>
          <w:r>
            <w:rPr>
              <w:rFonts w:hint="eastAsia" w:ascii="仿宋_GB2312" w:hAnsi="宋体" w:eastAsia="仿宋_GB2312"/>
              <w:color w:val="auto"/>
              <w:szCs w:val="32"/>
              <w:highlight w:val="none"/>
            </w:rPr>
            <w:fldChar w:fldCharType="separate"/>
          </w:r>
          <w:r>
            <w:rPr>
              <w:rFonts w:hint="eastAsia" w:ascii="黑体" w:hAnsi="黑体" w:eastAsia="黑体" w:cs="黑体"/>
              <w:color w:val="auto"/>
              <w:highlight w:val="none"/>
              <w:lang w:val="en-US"/>
            </w:rPr>
            <w:t>一、业务概述</w:t>
          </w:r>
          <w:r>
            <w:rPr>
              <w:color w:val="auto"/>
              <w:highlight w:val="none"/>
            </w:rPr>
            <w:tab/>
          </w:r>
          <w:r>
            <w:rPr>
              <w:color w:val="auto"/>
              <w:highlight w:val="none"/>
            </w:rPr>
            <w:fldChar w:fldCharType="begin"/>
          </w:r>
          <w:r>
            <w:rPr>
              <w:color w:val="auto"/>
              <w:highlight w:val="none"/>
            </w:rPr>
            <w:instrText xml:space="preserve"> PAGEREF _Toc4860 \h </w:instrText>
          </w:r>
          <w:r>
            <w:rPr>
              <w:color w:val="auto"/>
              <w:highlight w:val="none"/>
            </w:rPr>
            <w:fldChar w:fldCharType="separate"/>
          </w:r>
          <w:r>
            <w:rPr>
              <w:color w:val="auto"/>
              <w:highlight w:val="none"/>
            </w:rPr>
            <w:t>3</w:t>
          </w:r>
          <w:r>
            <w:rPr>
              <w:color w:val="auto"/>
              <w:highlight w:val="none"/>
            </w:rPr>
            <w:fldChar w:fldCharType="end"/>
          </w:r>
          <w:r>
            <w:rPr>
              <w:rFonts w:hint="eastAsia" w:ascii="仿宋_GB2312" w:hAnsi="宋体" w:eastAsia="仿宋_GB2312"/>
              <w:color w:val="auto"/>
              <w:szCs w:val="32"/>
              <w:highlight w:val="none"/>
            </w:rPr>
            <w:fldChar w:fldCharType="end"/>
          </w:r>
        </w:p>
        <w:p w14:paraId="3CF66347">
          <w:pPr>
            <w:pStyle w:val="11"/>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_Toc12753 </w:instrText>
          </w:r>
          <w:r>
            <w:rPr>
              <w:rFonts w:hint="eastAsia" w:ascii="仿宋_GB2312" w:hAnsi="宋体" w:eastAsia="仿宋_GB2312"/>
              <w:color w:val="auto"/>
              <w:szCs w:val="32"/>
              <w:highlight w:val="none"/>
            </w:rPr>
            <w:fldChar w:fldCharType="separate"/>
          </w:r>
          <w:r>
            <w:rPr>
              <w:rFonts w:hint="eastAsia" w:ascii="黑体" w:hAnsi="黑体" w:eastAsia="黑体" w:cs="黑体"/>
              <w:color w:val="auto"/>
              <w:highlight w:val="none"/>
              <w:lang w:val="en-US"/>
            </w:rPr>
            <w:t>二、业务流程</w:t>
          </w:r>
          <w:r>
            <w:rPr>
              <w:color w:val="auto"/>
              <w:highlight w:val="none"/>
            </w:rPr>
            <w:tab/>
          </w:r>
          <w:r>
            <w:rPr>
              <w:color w:val="auto"/>
              <w:highlight w:val="none"/>
            </w:rPr>
            <w:fldChar w:fldCharType="begin"/>
          </w:r>
          <w:r>
            <w:rPr>
              <w:color w:val="auto"/>
              <w:highlight w:val="none"/>
            </w:rPr>
            <w:instrText xml:space="preserve"> PAGEREF _Toc12753 \h </w:instrText>
          </w:r>
          <w:r>
            <w:rPr>
              <w:color w:val="auto"/>
              <w:highlight w:val="none"/>
            </w:rPr>
            <w:fldChar w:fldCharType="separate"/>
          </w:r>
          <w:r>
            <w:rPr>
              <w:color w:val="auto"/>
              <w:highlight w:val="none"/>
            </w:rPr>
            <w:t>3</w:t>
          </w:r>
          <w:r>
            <w:rPr>
              <w:color w:val="auto"/>
              <w:highlight w:val="none"/>
            </w:rPr>
            <w:fldChar w:fldCharType="end"/>
          </w:r>
          <w:r>
            <w:rPr>
              <w:rFonts w:hint="eastAsia" w:ascii="仿宋_GB2312" w:hAnsi="宋体" w:eastAsia="仿宋_GB2312"/>
              <w:color w:val="auto"/>
              <w:szCs w:val="32"/>
              <w:highlight w:val="none"/>
            </w:rPr>
            <w:fldChar w:fldCharType="end"/>
          </w:r>
        </w:p>
        <w:p w14:paraId="3361E90C">
          <w:pPr>
            <w:pStyle w:val="11"/>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_Toc2725 </w:instrText>
          </w:r>
          <w:r>
            <w:rPr>
              <w:rFonts w:hint="eastAsia" w:ascii="仿宋_GB2312" w:hAnsi="宋体" w:eastAsia="仿宋_GB2312"/>
              <w:color w:val="auto"/>
              <w:szCs w:val="32"/>
              <w:highlight w:val="none"/>
            </w:rPr>
            <w:fldChar w:fldCharType="separate"/>
          </w:r>
          <w:r>
            <w:rPr>
              <w:rFonts w:hint="eastAsia" w:ascii="黑体" w:hAnsi="黑体" w:eastAsia="黑体" w:cs="黑体"/>
              <w:bCs/>
              <w:color w:val="auto"/>
              <w:highlight w:val="none"/>
              <w:lang w:val="en-US"/>
            </w:rPr>
            <w:t>三、 操作指引</w:t>
          </w:r>
          <w:r>
            <w:rPr>
              <w:color w:val="auto"/>
              <w:highlight w:val="none"/>
            </w:rPr>
            <w:tab/>
          </w:r>
          <w:r>
            <w:rPr>
              <w:color w:val="auto"/>
              <w:highlight w:val="none"/>
            </w:rPr>
            <w:fldChar w:fldCharType="begin"/>
          </w:r>
          <w:r>
            <w:rPr>
              <w:color w:val="auto"/>
              <w:highlight w:val="none"/>
            </w:rPr>
            <w:instrText xml:space="preserve"> PAGEREF _Toc2725 \h </w:instrText>
          </w:r>
          <w:r>
            <w:rPr>
              <w:color w:val="auto"/>
              <w:highlight w:val="none"/>
            </w:rPr>
            <w:fldChar w:fldCharType="separate"/>
          </w:r>
          <w:r>
            <w:rPr>
              <w:color w:val="auto"/>
              <w:highlight w:val="none"/>
            </w:rPr>
            <w:t>5</w:t>
          </w:r>
          <w:r>
            <w:rPr>
              <w:color w:val="auto"/>
              <w:highlight w:val="none"/>
            </w:rPr>
            <w:fldChar w:fldCharType="end"/>
          </w:r>
          <w:r>
            <w:rPr>
              <w:rFonts w:hint="eastAsia" w:ascii="仿宋_GB2312" w:hAnsi="宋体" w:eastAsia="仿宋_GB2312"/>
              <w:color w:val="auto"/>
              <w:szCs w:val="32"/>
              <w:highlight w:val="none"/>
            </w:rPr>
            <w:fldChar w:fldCharType="end"/>
          </w:r>
        </w:p>
        <w:p w14:paraId="6A827265">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_Toc17636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1． 劳务报酬发票代开发起</w:t>
          </w:r>
          <w:r>
            <w:rPr>
              <w:color w:val="auto"/>
              <w:highlight w:val="none"/>
            </w:rPr>
            <w:tab/>
          </w:r>
          <w:r>
            <w:rPr>
              <w:color w:val="auto"/>
              <w:highlight w:val="none"/>
            </w:rPr>
            <w:fldChar w:fldCharType="begin"/>
          </w:r>
          <w:r>
            <w:rPr>
              <w:color w:val="auto"/>
              <w:highlight w:val="none"/>
            </w:rPr>
            <w:instrText xml:space="preserve"> PAGEREF _Toc17636 \h </w:instrText>
          </w:r>
          <w:r>
            <w:rPr>
              <w:color w:val="auto"/>
              <w:highlight w:val="none"/>
            </w:rPr>
            <w:fldChar w:fldCharType="separate"/>
          </w:r>
          <w:r>
            <w:rPr>
              <w:color w:val="auto"/>
              <w:highlight w:val="none"/>
            </w:rPr>
            <w:t>5</w:t>
          </w:r>
          <w:r>
            <w:rPr>
              <w:color w:val="auto"/>
              <w:highlight w:val="none"/>
            </w:rPr>
            <w:fldChar w:fldCharType="end"/>
          </w:r>
          <w:r>
            <w:rPr>
              <w:rFonts w:hint="eastAsia" w:ascii="仿宋_GB2312" w:hAnsi="宋体" w:eastAsia="仿宋_GB2312"/>
              <w:color w:val="auto"/>
              <w:szCs w:val="32"/>
              <w:highlight w:val="none"/>
            </w:rPr>
            <w:fldChar w:fldCharType="end"/>
          </w:r>
        </w:p>
        <w:p w14:paraId="4599C666">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_Toc23011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2． 办理“劳务费发票代开申请”待办</w:t>
          </w:r>
          <w:r>
            <w:rPr>
              <w:color w:val="auto"/>
              <w:highlight w:val="none"/>
            </w:rPr>
            <w:tab/>
          </w:r>
          <w:r>
            <w:rPr>
              <w:color w:val="auto"/>
              <w:highlight w:val="none"/>
            </w:rPr>
            <w:fldChar w:fldCharType="begin"/>
          </w:r>
          <w:r>
            <w:rPr>
              <w:color w:val="auto"/>
              <w:highlight w:val="none"/>
            </w:rPr>
            <w:instrText xml:space="preserve"> PAGEREF _Toc23011 \h </w:instrText>
          </w:r>
          <w:r>
            <w:rPr>
              <w:color w:val="auto"/>
              <w:highlight w:val="none"/>
            </w:rPr>
            <w:fldChar w:fldCharType="separate"/>
          </w:r>
          <w:r>
            <w:rPr>
              <w:color w:val="auto"/>
              <w:highlight w:val="none"/>
            </w:rPr>
            <w:t>12</w:t>
          </w:r>
          <w:r>
            <w:rPr>
              <w:color w:val="auto"/>
              <w:highlight w:val="none"/>
            </w:rPr>
            <w:fldChar w:fldCharType="end"/>
          </w:r>
          <w:r>
            <w:rPr>
              <w:rFonts w:hint="eastAsia" w:ascii="仿宋_GB2312" w:hAnsi="宋体" w:eastAsia="仿宋_GB2312"/>
              <w:color w:val="auto"/>
              <w:szCs w:val="32"/>
              <w:highlight w:val="none"/>
            </w:rPr>
            <w:fldChar w:fldCharType="end"/>
          </w:r>
        </w:p>
        <w:p w14:paraId="619A8483">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_Toc23008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3． 查看发票</w:t>
          </w:r>
          <w:r>
            <w:rPr>
              <w:color w:val="auto"/>
              <w:highlight w:val="none"/>
            </w:rPr>
            <w:tab/>
          </w:r>
          <w:r>
            <w:rPr>
              <w:color w:val="auto"/>
              <w:highlight w:val="none"/>
            </w:rPr>
            <w:fldChar w:fldCharType="begin"/>
          </w:r>
          <w:r>
            <w:rPr>
              <w:color w:val="auto"/>
              <w:highlight w:val="none"/>
            </w:rPr>
            <w:instrText xml:space="preserve"> PAGEREF _Toc23008 \h </w:instrText>
          </w:r>
          <w:r>
            <w:rPr>
              <w:color w:val="auto"/>
              <w:highlight w:val="none"/>
            </w:rPr>
            <w:fldChar w:fldCharType="separate"/>
          </w:r>
          <w:r>
            <w:rPr>
              <w:color w:val="auto"/>
              <w:highlight w:val="none"/>
            </w:rPr>
            <w:t>16</w:t>
          </w:r>
          <w:r>
            <w:rPr>
              <w:color w:val="auto"/>
              <w:highlight w:val="none"/>
            </w:rPr>
            <w:fldChar w:fldCharType="end"/>
          </w:r>
          <w:r>
            <w:rPr>
              <w:rFonts w:hint="eastAsia" w:ascii="仿宋_GB2312" w:hAnsi="宋体" w:eastAsia="仿宋_GB2312"/>
              <w:color w:val="auto"/>
              <w:szCs w:val="32"/>
              <w:highlight w:val="none"/>
            </w:rPr>
            <w:fldChar w:fldCharType="end"/>
          </w:r>
        </w:p>
        <w:p w14:paraId="24BBB02B">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_Toc15980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4． 查看代开申请记录</w:t>
          </w:r>
          <w:r>
            <w:rPr>
              <w:color w:val="auto"/>
              <w:highlight w:val="none"/>
            </w:rPr>
            <w:tab/>
          </w:r>
          <w:r>
            <w:rPr>
              <w:color w:val="auto"/>
              <w:highlight w:val="none"/>
            </w:rPr>
            <w:fldChar w:fldCharType="begin"/>
          </w:r>
          <w:r>
            <w:rPr>
              <w:color w:val="auto"/>
              <w:highlight w:val="none"/>
            </w:rPr>
            <w:instrText xml:space="preserve"> PAGEREF _Toc15980 \h </w:instrText>
          </w:r>
          <w:r>
            <w:rPr>
              <w:color w:val="auto"/>
              <w:highlight w:val="none"/>
            </w:rPr>
            <w:fldChar w:fldCharType="separate"/>
          </w:r>
          <w:r>
            <w:rPr>
              <w:color w:val="auto"/>
              <w:highlight w:val="none"/>
            </w:rPr>
            <w:t>17</w:t>
          </w:r>
          <w:r>
            <w:rPr>
              <w:color w:val="auto"/>
              <w:highlight w:val="none"/>
            </w:rPr>
            <w:fldChar w:fldCharType="end"/>
          </w:r>
          <w:r>
            <w:rPr>
              <w:rFonts w:hint="eastAsia" w:ascii="仿宋_GB2312" w:hAnsi="宋体" w:eastAsia="仿宋_GB2312"/>
              <w:color w:val="auto"/>
              <w:szCs w:val="32"/>
              <w:highlight w:val="none"/>
            </w:rPr>
            <w:fldChar w:fldCharType="end"/>
          </w:r>
        </w:p>
        <w:p w14:paraId="429AA7A8">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_Toc16111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 xml:space="preserve">5． </w:t>
          </w:r>
          <w:r>
            <w:rPr>
              <w:rFonts w:hint="eastAsia" w:ascii="仿宋_GB2312" w:hAnsi="黑体" w:eastAsia="仿宋_GB2312"/>
              <w:bCs/>
              <w:color w:val="auto"/>
              <w:highlight w:val="none"/>
              <w:lang w:val="en-US" w:eastAsia="zh-CN"/>
            </w:rPr>
            <w:t>红字发票开具</w:t>
          </w:r>
          <w:r>
            <w:rPr>
              <w:color w:val="auto"/>
              <w:highlight w:val="none"/>
            </w:rPr>
            <w:tab/>
          </w:r>
          <w:r>
            <w:rPr>
              <w:color w:val="auto"/>
              <w:highlight w:val="none"/>
            </w:rPr>
            <w:fldChar w:fldCharType="begin"/>
          </w:r>
          <w:r>
            <w:rPr>
              <w:color w:val="auto"/>
              <w:highlight w:val="none"/>
            </w:rPr>
            <w:instrText xml:space="preserve"> PAGEREF _Toc16111 \h </w:instrText>
          </w:r>
          <w:r>
            <w:rPr>
              <w:color w:val="auto"/>
              <w:highlight w:val="none"/>
            </w:rPr>
            <w:fldChar w:fldCharType="separate"/>
          </w:r>
          <w:r>
            <w:rPr>
              <w:color w:val="auto"/>
              <w:highlight w:val="none"/>
            </w:rPr>
            <w:t>19</w:t>
          </w:r>
          <w:r>
            <w:rPr>
              <w:color w:val="auto"/>
              <w:highlight w:val="none"/>
            </w:rPr>
            <w:fldChar w:fldCharType="end"/>
          </w:r>
          <w:r>
            <w:rPr>
              <w:rFonts w:hint="eastAsia" w:ascii="仿宋_GB2312" w:hAnsi="宋体" w:eastAsia="仿宋_GB2312"/>
              <w:color w:val="auto"/>
              <w:szCs w:val="32"/>
              <w:highlight w:val="none"/>
            </w:rPr>
            <w:fldChar w:fldCharType="end"/>
          </w:r>
        </w:p>
        <w:p w14:paraId="1796F5B3">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_Toc24548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6． 扣缴申报关联发票</w:t>
          </w:r>
          <w:r>
            <w:rPr>
              <w:color w:val="auto"/>
              <w:highlight w:val="none"/>
            </w:rPr>
            <w:tab/>
          </w:r>
          <w:r>
            <w:rPr>
              <w:color w:val="auto"/>
              <w:highlight w:val="none"/>
            </w:rPr>
            <w:fldChar w:fldCharType="begin"/>
          </w:r>
          <w:r>
            <w:rPr>
              <w:color w:val="auto"/>
              <w:highlight w:val="none"/>
            </w:rPr>
            <w:instrText xml:space="preserve"> PAGEREF _Toc24548 \h </w:instrText>
          </w:r>
          <w:r>
            <w:rPr>
              <w:color w:val="auto"/>
              <w:highlight w:val="none"/>
            </w:rPr>
            <w:fldChar w:fldCharType="separate"/>
          </w:r>
          <w:r>
            <w:rPr>
              <w:color w:val="auto"/>
              <w:highlight w:val="none"/>
            </w:rPr>
            <w:t>20</w:t>
          </w:r>
          <w:r>
            <w:rPr>
              <w:color w:val="auto"/>
              <w:highlight w:val="none"/>
            </w:rPr>
            <w:fldChar w:fldCharType="end"/>
          </w:r>
          <w:r>
            <w:rPr>
              <w:rFonts w:hint="eastAsia" w:ascii="仿宋_GB2312" w:hAnsi="宋体" w:eastAsia="仿宋_GB2312"/>
              <w:color w:val="auto"/>
              <w:szCs w:val="32"/>
              <w:highlight w:val="none"/>
            </w:rPr>
            <w:fldChar w:fldCharType="end"/>
          </w:r>
        </w:p>
        <w:p w14:paraId="5B5947FB">
          <w:pPr>
            <w:pStyle w:val="7"/>
            <w:tabs>
              <w:tab w:val="right" w:leader="dot" w:pos="8850"/>
            </w:tabs>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_Toc20159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操作方式1</w:t>
          </w:r>
          <w:r>
            <w:rPr>
              <w:rFonts w:hint="eastAsia" w:ascii="仿宋_GB2312" w:hAnsi="仿宋_GB2312" w:eastAsia="仿宋_GB2312" w:cs="仿宋_GB2312"/>
              <w:bCs/>
              <w:color w:val="auto"/>
              <w:sz w:val="24"/>
              <w:szCs w:val="24"/>
              <w:highlight w:val="none"/>
              <w:lang w:val="en-US"/>
            </w:rPr>
            <w:t>：</w:t>
          </w:r>
          <w:r>
            <w:rPr>
              <w:rFonts w:hint="eastAsia" w:ascii="仿宋_GB2312" w:hAnsi="仿宋_GB2312" w:eastAsia="仿宋_GB2312" w:cs="仿宋_GB2312"/>
              <w:color w:val="auto"/>
              <w:sz w:val="24"/>
              <w:szCs w:val="24"/>
              <w:highlight w:val="none"/>
              <w:lang w:val="en-US"/>
            </w:rPr>
            <w:t>通过“个人代开发票明细查询”扣缴申报关联发票</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_Toc20159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20</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5A0FA1FF">
          <w:pPr>
            <w:pStyle w:val="7"/>
            <w:tabs>
              <w:tab w:val="right" w:leader="dot" w:pos="8850"/>
            </w:tabs>
            <w:rPr>
              <w:color w:val="auto"/>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\l _Toc8558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bCs/>
              <w:color w:val="auto"/>
              <w:sz w:val="24"/>
              <w:szCs w:val="24"/>
              <w:highlight w:val="none"/>
              <w:lang w:val="en-US" w:eastAsia="zh-CN"/>
            </w:rPr>
            <w:t>操作方式2</w:t>
          </w:r>
          <w:r>
            <w:rPr>
              <w:rFonts w:hint="eastAsia" w:ascii="仿宋_GB2312" w:hAnsi="仿宋_GB2312" w:eastAsia="仿宋_GB2312" w:cs="仿宋_GB2312"/>
              <w:bCs/>
              <w:color w:val="auto"/>
              <w:sz w:val="24"/>
              <w:szCs w:val="24"/>
              <w:highlight w:val="none"/>
              <w:lang w:val="en-US"/>
            </w:rPr>
            <w:t>：</w:t>
          </w:r>
          <w:r>
            <w:rPr>
              <w:rFonts w:hint="eastAsia" w:ascii="仿宋_GB2312" w:hAnsi="仿宋_GB2312" w:eastAsia="仿宋_GB2312" w:cs="仿宋_GB2312"/>
              <w:color w:val="auto"/>
              <w:sz w:val="24"/>
              <w:szCs w:val="24"/>
              <w:highlight w:val="none"/>
              <w:lang w:val="en-US"/>
            </w:rPr>
            <w:t>通过“扣缴申报”关联发票</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ab/>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PAGEREF _Toc8558 \h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23</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fldChar w:fldCharType="end"/>
          </w:r>
        </w:p>
        <w:p w14:paraId="1100494A">
          <w:pPr>
            <w:pStyle w:val="13"/>
            <w:tabs>
              <w:tab w:val="right" w:leader="dot" w:pos="8850"/>
            </w:tabs>
            <w:rPr>
              <w:color w:val="auto"/>
              <w:highlight w:val="none"/>
            </w:rPr>
          </w:pPr>
          <w:r>
            <w:rPr>
              <w:rFonts w:hint="eastAsia" w:ascii="仿宋_GB2312" w:hAnsi="宋体" w:eastAsia="仿宋_GB2312"/>
              <w:color w:val="auto"/>
              <w:szCs w:val="32"/>
              <w:highlight w:val="none"/>
            </w:rPr>
            <w:fldChar w:fldCharType="begin"/>
          </w:r>
          <w:r>
            <w:rPr>
              <w:rFonts w:hint="eastAsia" w:ascii="仿宋_GB2312" w:hAnsi="宋体" w:eastAsia="仿宋_GB2312"/>
              <w:color w:val="auto"/>
              <w:szCs w:val="32"/>
              <w:highlight w:val="none"/>
            </w:rPr>
            <w:instrText xml:space="preserve"> HYPERLINK \l _Toc20045 </w:instrText>
          </w:r>
          <w:r>
            <w:rPr>
              <w:rFonts w:hint="eastAsia" w:ascii="仿宋_GB2312" w:hAnsi="宋体" w:eastAsia="仿宋_GB2312"/>
              <w:color w:val="auto"/>
              <w:szCs w:val="32"/>
              <w:highlight w:val="none"/>
            </w:rPr>
            <w:fldChar w:fldCharType="separate"/>
          </w:r>
          <w:r>
            <w:rPr>
              <w:rFonts w:hint="eastAsia" w:ascii="仿宋_GB2312" w:hAnsi="黑体" w:eastAsia="仿宋_GB2312"/>
              <w:bCs/>
              <w:color w:val="auto"/>
              <w:highlight w:val="none"/>
              <w:lang w:val="en-US"/>
            </w:rPr>
            <w:t>7． 税务端批量查询发票记录及申报情况</w:t>
          </w:r>
          <w:r>
            <w:rPr>
              <w:color w:val="auto"/>
              <w:highlight w:val="none"/>
            </w:rPr>
            <w:tab/>
          </w:r>
          <w:r>
            <w:rPr>
              <w:color w:val="auto"/>
              <w:highlight w:val="none"/>
            </w:rPr>
            <w:fldChar w:fldCharType="begin"/>
          </w:r>
          <w:r>
            <w:rPr>
              <w:color w:val="auto"/>
              <w:highlight w:val="none"/>
            </w:rPr>
            <w:instrText xml:space="preserve"> PAGEREF _Toc20045 \h </w:instrText>
          </w:r>
          <w:r>
            <w:rPr>
              <w:color w:val="auto"/>
              <w:highlight w:val="none"/>
            </w:rPr>
            <w:fldChar w:fldCharType="separate"/>
          </w:r>
          <w:r>
            <w:rPr>
              <w:color w:val="auto"/>
              <w:highlight w:val="none"/>
            </w:rPr>
            <w:t>27</w:t>
          </w:r>
          <w:r>
            <w:rPr>
              <w:color w:val="auto"/>
              <w:highlight w:val="none"/>
            </w:rPr>
            <w:fldChar w:fldCharType="end"/>
          </w:r>
          <w:r>
            <w:rPr>
              <w:rFonts w:hint="eastAsia" w:ascii="仿宋_GB2312" w:hAnsi="宋体" w:eastAsia="仿宋_GB2312"/>
              <w:color w:val="auto"/>
              <w:szCs w:val="32"/>
              <w:highlight w:val="none"/>
            </w:rPr>
            <w:fldChar w:fldCharType="end"/>
          </w:r>
        </w:p>
        <w:p w14:paraId="3560DD94">
          <w:pPr>
            <w:pStyle w:val="7"/>
            <w:tabs>
              <w:tab w:val="right" w:leader="dot" w:pos="8840"/>
            </w:tabs>
            <w:ind w:firstLine="960" w:firstLineChars="300"/>
            <w:outlineLvl w:val="9"/>
            <w:rPr>
              <w:rFonts w:ascii="仿宋_GB2312" w:hAnsi="宋体" w:eastAsia="仿宋_GB2312"/>
              <w:color w:val="auto"/>
              <w:szCs w:val="32"/>
              <w:highlight w:val="none"/>
            </w:rPr>
          </w:pPr>
          <w:r>
            <w:rPr>
              <w:rFonts w:hint="eastAsia" w:ascii="仿宋_GB2312" w:hAnsi="宋体" w:eastAsia="仿宋_GB2312"/>
              <w:color w:val="auto"/>
              <w:szCs w:val="32"/>
              <w:highlight w:val="none"/>
            </w:rPr>
            <w:fldChar w:fldCharType="end"/>
          </w:r>
        </w:p>
      </w:sdtContent>
    </w:sdt>
    <w:p w14:paraId="192F33EB">
      <w:pPr>
        <w:rPr>
          <w:rFonts w:ascii="仿宋_GB2312" w:eastAsia="仿宋_GB2312"/>
          <w:color w:val="auto"/>
          <w:highlight w:val="none"/>
          <w:lang w:val="en-US"/>
        </w:rPr>
        <w:sectPr>
          <w:pgSz w:w="11910" w:h="16840"/>
          <w:pgMar w:top="1580" w:right="1380" w:bottom="280" w:left="1680" w:header="720" w:footer="720" w:gutter="0"/>
          <w:cols w:space="720" w:num="1"/>
        </w:sectPr>
      </w:pPr>
    </w:p>
    <w:p w14:paraId="6E83985B">
      <w:pPr>
        <w:ind w:firstLine="640"/>
        <w:outlineLvl w:val="0"/>
        <w:rPr>
          <w:rFonts w:ascii="黑体" w:hAnsi="黑体" w:eastAsia="黑体" w:cs="黑体"/>
          <w:color w:val="auto"/>
          <w:highlight w:val="none"/>
          <w:lang w:val="en-US"/>
        </w:rPr>
      </w:pPr>
      <w:bookmarkStart w:id="3" w:name="_Toc65279431"/>
      <w:bookmarkStart w:id="4" w:name="_Toc65233465"/>
      <w:bookmarkStart w:id="5" w:name="_Toc65244977"/>
      <w:bookmarkStart w:id="6" w:name="_Toc4860"/>
      <w:r>
        <w:rPr>
          <w:rFonts w:hint="eastAsia" w:ascii="黑体" w:hAnsi="黑体" w:eastAsia="黑体" w:cs="黑体"/>
          <w:color w:val="auto"/>
          <w:highlight w:val="none"/>
          <w:lang w:val="en-US"/>
        </w:rPr>
        <w:t>一、</w:t>
      </w:r>
      <w:bookmarkEnd w:id="3"/>
      <w:bookmarkEnd w:id="4"/>
      <w:bookmarkEnd w:id="5"/>
      <w:r>
        <w:rPr>
          <w:rFonts w:hint="eastAsia" w:ascii="黑体" w:hAnsi="黑体" w:eastAsia="黑体" w:cs="黑体"/>
          <w:color w:val="auto"/>
          <w:highlight w:val="none"/>
          <w:lang w:val="en-US"/>
        </w:rPr>
        <w:t>业务概述</w:t>
      </w:r>
      <w:bookmarkEnd w:id="6"/>
    </w:p>
    <w:p w14:paraId="088CB81F">
      <w:pPr>
        <w:pStyle w:val="29"/>
        <w:ind w:firstLine="720" w:firstLineChars="0"/>
        <w:rPr>
          <w:rFonts w:ascii="仿宋_GB2312" w:eastAsia="仿宋_GB2312"/>
          <w:color w:val="auto"/>
          <w:highlight w:val="none"/>
        </w:rPr>
      </w:pPr>
      <w:r>
        <w:rPr>
          <w:rFonts w:hint="eastAsia" w:ascii="仿宋_GB2312" w:eastAsia="仿宋_GB2312"/>
          <w:color w:val="auto"/>
          <w:highlight w:val="none"/>
        </w:rPr>
        <w:t>通过个税APP提供全国统一渠道，实现自然人代开劳务报酬数电发票以及缴税申报一体化的全链路管理服务。</w:t>
      </w:r>
      <w:r>
        <w:rPr>
          <w:rFonts w:ascii="仿宋_GB2312" w:eastAsia="仿宋_GB2312"/>
          <w:color w:val="auto"/>
          <w:highlight w:val="none"/>
        </w:rPr>
        <w:t>场景具体限定条件如下：</w:t>
      </w:r>
    </w:p>
    <w:p w14:paraId="0C7732BE">
      <w:pPr>
        <w:pStyle w:val="29"/>
        <w:numPr>
          <w:ilvl w:val="255"/>
          <w:numId w:val="0"/>
        </w:numPr>
        <w:ind w:firstLine="720"/>
        <w:rPr>
          <w:rFonts w:ascii="仿宋_GB2312" w:eastAsia="仿宋_GB2312"/>
          <w:color w:val="auto"/>
          <w:highlight w:val="none"/>
          <w:lang w:val="en-US"/>
        </w:rPr>
      </w:pPr>
      <w:r>
        <w:rPr>
          <w:rFonts w:hint="eastAsia" w:ascii="仿宋_GB2312" w:eastAsia="仿宋_GB2312"/>
          <w:color w:val="auto"/>
          <w:highlight w:val="none"/>
          <w:lang w:val="en-US"/>
        </w:rPr>
        <w:t>1.收入性质：限定为</w:t>
      </w:r>
      <w:r>
        <w:rPr>
          <w:rFonts w:hint="eastAsia" w:ascii="仿宋_GB2312" w:eastAsia="仿宋_GB2312"/>
          <w:b/>
          <w:color w:val="auto"/>
          <w:highlight w:val="none"/>
          <w:lang w:val="en-US"/>
        </w:rPr>
        <w:t>劳务报酬</w:t>
      </w:r>
      <w:r>
        <w:rPr>
          <w:rFonts w:hint="eastAsia" w:ascii="仿宋_GB2312" w:eastAsia="仿宋_GB2312"/>
          <w:color w:val="auto"/>
          <w:highlight w:val="none"/>
          <w:lang w:val="en-US"/>
        </w:rPr>
        <w:t>。</w:t>
      </w:r>
    </w:p>
    <w:p w14:paraId="5B538A56">
      <w:pPr>
        <w:pStyle w:val="29"/>
        <w:numPr>
          <w:ilvl w:val="255"/>
          <w:numId w:val="0"/>
        </w:numPr>
        <w:ind w:firstLine="720"/>
        <w:rPr>
          <w:rFonts w:ascii="仿宋_GB2312" w:eastAsia="仿宋_GB2312"/>
          <w:color w:val="auto"/>
          <w:highlight w:val="none"/>
          <w:lang w:val="en-US"/>
        </w:rPr>
      </w:pPr>
      <w:r>
        <w:rPr>
          <w:rFonts w:ascii="仿宋_GB2312" w:eastAsia="仿宋_GB2312"/>
          <w:color w:val="auto"/>
          <w:highlight w:val="none"/>
          <w:lang w:val="en-US"/>
        </w:rPr>
        <w:t>2.业务</w:t>
      </w:r>
      <w:r>
        <w:rPr>
          <w:rFonts w:hint="eastAsia" w:ascii="仿宋_GB2312" w:eastAsia="仿宋_GB2312"/>
          <w:color w:val="auto"/>
          <w:highlight w:val="none"/>
          <w:lang w:val="en-US"/>
        </w:rPr>
        <w:t>限制：</w:t>
      </w:r>
      <w:r>
        <w:rPr>
          <w:rFonts w:ascii="仿宋_GB2312" w:eastAsia="仿宋_GB2312"/>
          <w:color w:val="auto"/>
          <w:highlight w:val="none"/>
        </w:rPr>
        <w:t>限定为</w:t>
      </w:r>
      <w:r>
        <w:rPr>
          <w:rFonts w:hint="eastAsia" w:ascii="仿宋_GB2312" w:eastAsia="仿宋_GB2312"/>
          <w:color w:val="auto"/>
          <w:highlight w:val="none"/>
          <w:lang w:val="en-US"/>
        </w:rPr>
        <w:t>单次仅支持开具金额</w:t>
      </w:r>
      <w:r>
        <w:rPr>
          <w:rFonts w:hint="eastAsia" w:ascii="仿宋_GB2312" w:eastAsia="仿宋_GB2312"/>
          <w:b/>
          <w:color w:val="auto"/>
          <w:highlight w:val="none"/>
          <w:lang w:val="en-US"/>
        </w:rPr>
        <w:t>不超过十万元</w:t>
      </w:r>
      <w:r>
        <w:rPr>
          <w:rFonts w:hint="eastAsia" w:ascii="仿宋_GB2312" w:eastAsia="仿宋_GB2312"/>
          <w:color w:val="auto"/>
          <w:highlight w:val="none"/>
          <w:lang w:val="en-US"/>
        </w:rPr>
        <w:t>的发票。</w:t>
      </w:r>
    </w:p>
    <w:p w14:paraId="30A01030">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3</w:t>
      </w:r>
      <w:r>
        <w:rPr>
          <w:rFonts w:hint="eastAsia" w:ascii="仿宋_GB2312" w:eastAsia="仿宋_GB2312"/>
          <w:color w:val="auto"/>
          <w:highlight w:val="none"/>
        </w:rPr>
        <w:t>.业务对象：限定为自然人与法人（扣缴义务人）之间，且发起人限定为扣缴义务人。</w:t>
      </w:r>
    </w:p>
    <w:p w14:paraId="275D0FAF">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4.发票类型：仅支持开具</w:t>
      </w:r>
      <w:r>
        <w:rPr>
          <w:rFonts w:hint="eastAsia" w:ascii="仿宋_GB2312" w:eastAsia="仿宋_GB2312"/>
          <w:b/>
          <w:color w:val="auto"/>
          <w:highlight w:val="none"/>
          <w:lang w:val="en-US"/>
        </w:rPr>
        <w:t>数电发票</w:t>
      </w:r>
      <w:r>
        <w:rPr>
          <w:rFonts w:hint="eastAsia" w:ascii="仿宋_GB2312" w:eastAsia="仿宋_GB2312"/>
          <w:color w:val="auto"/>
          <w:highlight w:val="none"/>
          <w:lang w:val="en-US"/>
        </w:rPr>
        <w:t>。</w:t>
      </w:r>
    </w:p>
    <w:p w14:paraId="22A128C9">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5</w:t>
      </w:r>
      <w:r>
        <w:rPr>
          <w:rFonts w:hint="eastAsia" w:ascii="仿宋_GB2312" w:eastAsia="仿宋_GB2312"/>
          <w:color w:val="auto"/>
          <w:highlight w:val="none"/>
        </w:rPr>
        <w:t>.业务类型：涉及</w:t>
      </w:r>
      <w:r>
        <w:rPr>
          <w:rFonts w:hint="eastAsia" w:ascii="仿宋_GB2312" w:eastAsia="仿宋_GB2312"/>
          <w:color w:val="auto"/>
          <w:highlight w:val="none"/>
          <w:lang w:val="en-US"/>
        </w:rPr>
        <w:t>数电</w:t>
      </w:r>
      <w:r>
        <w:rPr>
          <w:rFonts w:hint="eastAsia" w:ascii="仿宋_GB2312" w:eastAsia="仿宋_GB2312"/>
          <w:color w:val="auto"/>
          <w:highlight w:val="none"/>
        </w:rPr>
        <w:t>发票业务，其中自然人提供劳务服务、开具发票，法人（扣缴义务人）支付劳务报酬、</w:t>
      </w:r>
      <w:r>
        <w:rPr>
          <w:rFonts w:hint="eastAsia" w:ascii="仿宋_GB2312" w:eastAsia="仿宋_GB2312"/>
          <w:color w:val="auto"/>
          <w:highlight w:val="none"/>
          <w:lang w:val="en-US"/>
        </w:rPr>
        <w:t>接收</w:t>
      </w:r>
      <w:r>
        <w:rPr>
          <w:rFonts w:hint="eastAsia" w:ascii="仿宋_GB2312" w:eastAsia="仿宋_GB2312"/>
          <w:color w:val="auto"/>
          <w:highlight w:val="none"/>
        </w:rPr>
        <w:t>发票。涉及申报业务，其中自然人负有增值税及附加、个人所得税的纳税义务，法人负有个人所得税</w:t>
      </w:r>
      <w:r>
        <w:rPr>
          <w:rFonts w:ascii="仿宋_GB2312" w:eastAsia="仿宋_GB2312"/>
          <w:color w:val="auto"/>
          <w:highlight w:val="none"/>
        </w:rPr>
        <w:t>扣缴申报</w:t>
      </w:r>
      <w:r>
        <w:rPr>
          <w:rFonts w:hint="eastAsia" w:ascii="仿宋_GB2312" w:eastAsia="仿宋_GB2312"/>
          <w:color w:val="auto"/>
          <w:highlight w:val="none"/>
        </w:rPr>
        <w:t>义务。</w:t>
      </w:r>
    </w:p>
    <w:p w14:paraId="680CE36C">
      <w:pPr>
        <w:ind w:firstLine="640"/>
        <w:outlineLvl w:val="0"/>
        <w:rPr>
          <w:rFonts w:ascii="仿宋_GB2312" w:hAnsi="黑体" w:eastAsia="仿宋_GB2312"/>
          <w:b/>
          <w:bCs/>
          <w:color w:val="auto"/>
          <w:highlight w:val="none"/>
          <w:lang w:val="en-US"/>
        </w:rPr>
      </w:pPr>
      <w:bookmarkStart w:id="7" w:name="_Toc12753"/>
      <w:r>
        <w:rPr>
          <w:rFonts w:hint="eastAsia" w:ascii="黑体" w:hAnsi="黑体" w:eastAsia="黑体" w:cs="黑体"/>
          <w:color w:val="auto"/>
          <w:highlight w:val="none"/>
          <w:lang w:val="en-US"/>
        </w:rPr>
        <w:t>二、业务流程</w:t>
      </w:r>
      <w:bookmarkEnd w:id="7"/>
    </w:p>
    <w:p w14:paraId="197AB105">
      <w:pPr>
        <w:pStyle w:val="29"/>
        <w:ind w:firstLine="720" w:firstLineChars="0"/>
        <w:rPr>
          <w:rFonts w:ascii="仿宋_GB2312" w:eastAsia="仿宋_GB2312"/>
          <w:color w:val="auto"/>
          <w:highlight w:val="none"/>
        </w:rPr>
      </w:pPr>
      <w:r>
        <w:rPr>
          <w:rFonts w:hint="eastAsia" w:ascii="仿宋_GB2312" w:eastAsia="仿宋_GB2312"/>
          <w:color w:val="auto"/>
          <w:highlight w:val="none"/>
        </w:rPr>
        <w:t>扣缴义务人</w:t>
      </w:r>
      <w:r>
        <w:rPr>
          <w:rFonts w:hint="eastAsia" w:ascii="仿宋_GB2312" w:eastAsia="仿宋_GB2312"/>
          <w:color w:val="auto"/>
          <w:highlight w:val="none"/>
          <w:lang w:val="en-US"/>
        </w:rPr>
        <w:t>发起劳务报酬发</w:t>
      </w:r>
      <w:r>
        <w:rPr>
          <w:rFonts w:hint="eastAsia" w:ascii="仿宋_GB2312" w:eastAsia="仿宋_GB2312"/>
          <w:color w:val="auto"/>
          <w:highlight w:val="none"/>
        </w:rPr>
        <w:t>票</w:t>
      </w:r>
      <w:r>
        <w:rPr>
          <w:rFonts w:hint="eastAsia" w:ascii="仿宋_GB2312" w:eastAsia="仿宋_GB2312"/>
          <w:color w:val="auto"/>
          <w:highlight w:val="none"/>
          <w:lang w:val="en-US"/>
        </w:rPr>
        <w:t>开票提醒</w:t>
      </w:r>
      <w:r>
        <w:rPr>
          <w:rFonts w:hint="eastAsia" w:ascii="仿宋_GB2312" w:eastAsia="仿宋_GB2312"/>
          <w:color w:val="auto"/>
          <w:highlight w:val="none"/>
        </w:rPr>
        <w:t>→自然人确认代开发票申请→缴纳增值税及附加→发票开具→扣缴申报（</w:t>
      </w:r>
      <w:r>
        <w:rPr>
          <w:rFonts w:hint="eastAsia" w:ascii="仿宋_GB2312" w:eastAsia="仿宋_GB2312"/>
          <w:color w:val="auto"/>
          <w:highlight w:val="none"/>
          <w:lang w:val="en-US"/>
        </w:rPr>
        <w:t>关联发票</w:t>
      </w:r>
      <w:r>
        <w:rPr>
          <w:rFonts w:hint="eastAsia" w:ascii="仿宋_GB2312" w:eastAsia="仿宋_GB2312"/>
          <w:color w:val="auto"/>
          <w:highlight w:val="none"/>
        </w:rPr>
        <w:t>）→</w:t>
      </w:r>
      <w:r>
        <w:rPr>
          <w:rFonts w:hint="eastAsia" w:ascii="仿宋_GB2312" w:eastAsia="仿宋_GB2312"/>
          <w:color w:val="auto"/>
          <w:highlight w:val="none"/>
          <w:lang w:val="en-US"/>
        </w:rPr>
        <w:t>综合所得年度汇算</w:t>
      </w:r>
      <w:r>
        <w:rPr>
          <w:rFonts w:hint="eastAsia" w:ascii="仿宋_GB2312" w:eastAsia="仿宋_GB2312"/>
          <w:color w:val="auto"/>
          <w:highlight w:val="none"/>
        </w:rPr>
        <w:t>申报预填→</w:t>
      </w:r>
      <w:r>
        <w:rPr>
          <w:rFonts w:hint="eastAsia" w:ascii="仿宋_GB2312" w:eastAsia="仿宋_GB2312"/>
          <w:color w:val="auto"/>
          <w:highlight w:val="none"/>
          <w:lang w:val="en-US"/>
        </w:rPr>
        <w:t>未扣缴申报疑点管理</w:t>
      </w:r>
      <w:r>
        <w:rPr>
          <w:rFonts w:hint="eastAsia" w:ascii="仿宋_GB2312" w:eastAsia="仿宋_GB2312"/>
          <w:color w:val="auto"/>
          <w:highlight w:val="none"/>
        </w:rPr>
        <w:t>。</w:t>
      </w:r>
    </w:p>
    <w:p w14:paraId="71202ADE">
      <w:pPr>
        <w:rPr>
          <w:color w:val="auto"/>
          <w:highlight w:val="none"/>
        </w:rPr>
      </w:pPr>
    </w:p>
    <w:p w14:paraId="1AF29747">
      <w:pPr>
        <w:rPr>
          <w:color w:val="auto"/>
          <w:highlight w:val="none"/>
        </w:rPr>
      </w:pPr>
    </w:p>
    <w:p w14:paraId="49383135">
      <w:pPr>
        <w:rPr>
          <w:color w:val="auto"/>
          <w:highlight w:val="none"/>
        </w:rPr>
      </w:pPr>
    </w:p>
    <w:p w14:paraId="260141B2">
      <w:pPr>
        <w:jc w:val="center"/>
        <w:rPr>
          <w:color w:val="auto"/>
          <w:highlight w:val="none"/>
        </w:rPr>
      </w:pPr>
    </w:p>
    <w:p w14:paraId="4FB90A46">
      <w:pPr>
        <w:pStyle w:val="29"/>
        <w:ind w:firstLine="0" w:firstLineChars="0"/>
        <w:jc w:val="center"/>
        <w:rPr>
          <w:rFonts w:ascii="仿宋_GB2312" w:eastAsia="仿宋_GB2312"/>
          <w:color w:val="auto"/>
          <w:highlight w:val="none"/>
        </w:rPr>
      </w:pPr>
      <w:r>
        <w:rPr>
          <w:rFonts w:hint="eastAsia" w:ascii="仿宋_GB2312" w:eastAsia="仿宋_GB2312"/>
          <w:color w:val="auto"/>
          <w:highlight w:val="none"/>
          <w:lang w:val="en-US" w:bidi="ar-SA"/>
        </w:rPr>
        <w:drawing>
          <wp:inline distT="0" distB="0" distL="114300" distR="114300">
            <wp:extent cx="3594735" cy="8696325"/>
            <wp:effectExtent l="0" t="0" r="12065" b="15875"/>
            <wp:docPr id="7" name="图片 7" descr="代开蓝字发票业务流程图简易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代开蓝字发票业务流程图简易版"/>
                    <pic:cNvPicPr>
                      <a:picLocks noChangeAspect="1"/>
                    </pic:cNvPicPr>
                  </pic:nvPicPr>
                  <pic:blipFill>
                    <a:blip r:embed="rId9"/>
                    <a:stretch>
                      <a:fillRect/>
                    </a:stretch>
                  </pic:blipFill>
                  <pic:spPr>
                    <a:xfrm>
                      <a:off x="0" y="0"/>
                      <a:ext cx="3594735" cy="8696325"/>
                    </a:xfrm>
                    <a:prstGeom prst="rect">
                      <a:avLst/>
                    </a:prstGeom>
                  </pic:spPr>
                </pic:pic>
              </a:graphicData>
            </a:graphic>
          </wp:inline>
        </w:drawing>
      </w:r>
    </w:p>
    <w:p w14:paraId="3C5EEF9A">
      <w:pPr>
        <w:numPr>
          <w:ilvl w:val="0"/>
          <w:numId w:val="1"/>
        </w:numPr>
        <w:ind w:firstLine="640"/>
        <w:outlineLvl w:val="0"/>
        <w:rPr>
          <w:rFonts w:ascii="黑体" w:hAnsi="黑体" w:eastAsia="黑体" w:cs="黑体"/>
          <w:b/>
          <w:bCs/>
          <w:color w:val="auto"/>
          <w:highlight w:val="none"/>
          <w:lang w:val="en-US"/>
        </w:rPr>
      </w:pPr>
      <w:bookmarkStart w:id="8" w:name="_Toc2725"/>
      <w:r>
        <w:rPr>
          <w:rFonts w:hint="eastAsia" w:ascii="黑体" w:hAnsi="黑体" w:eastAsia="黑体" w:cs="黑体"/>
          <w:b/>
          <w:bCs/>
          <w:color w:val="auto"/>
          <w:highlight w:val="none"/>
          <w:lang w:val="en-US"/>
        </w:rPr>
        <w:t>操作指引</w:t>
      </w:r>
      <w:bookmarkEnd w:id="8"/>
    </w:p>
    <w:p w14:paraId="4E0FE484">
      <w:pPr>
        <w:numPr>
          <w:ilvl w:val="1"/>
          <w:numId w:val="1"/>
        </w:numPr>
        <w:ind w:firstLine="640"/>
        <w:outlineLvl w:val="1"/>
        <w:rPr>
          <w:rFonts w:ascii="仿宋_GB2312" w:hAnsi="黑体" w:eastAsia="仿宋_GB2312"/>
          <w:b/>
          <w:bCs/>
          <w:color w:val="auto"/>
          <w:highlight w:val="none"/>
          <w:lang w:val="en-US"/>
        </w:rPr>
      </w:pPr>
      <w:bookmarkStart w:id="9" w:name="_Toc17636"/>
      <w:r>
        <w:rPr>
          <w:rFonts w:hint="eastAsia" w:ascii="仿宋_GB2312" w:hAnsi="黑体" w:eastAsia="仿宋_GB2312"/>
          <w:b/>
          <w:bCs/>
          <w:color w:val="auto"/>
          <w:highlight w:val="none"/>
          <w:lang w:val="en-US"/>
        </w:rPr>
        <w:t>劳务报酬发票代开发起</w:t>
      </w:r>
      <w:bookmarkEnd w:id="9"/>
    </w:p>
    <w:p w14:paraId="1272DDCA">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步骤一：登录自然人电子税务局WEB端</w:t>
      </w:r>
    </w:p>
    <w:p w14:paraId="17F62BA0">
      <w:pPr>
        <w:pStyle w:val="29"/>
        <w:ind w:firstLine="720" w:firstLineChars="0"/>
        <w:jc w:val="left"/>
        <w:rPr>
          <w:rFonts w:hint="eastAsia" w:ascii="仿宋_GB2312" w:eastAsia="仿宋_GB2312"/>
          <w:color w:val="auto"/>
          <w:highlight w:val="none"/>
        </w:rPr>
      </w:pPr>
      <w:r>
        <w:rPr>
          <w:rFonts w:hint="eastAsia" w:ascii="仿宋_GB2312" w:eastAsia="仿宋_GB2312"/>
          <w:color w:val="auto"/>
          <w:highlight w:val="none"/>
          <w:lang w:val="en-US"/>
        </w:rPr>
        <w:t>企业办税人员登录自然人电子税务局WEB端</w:t>
      </w:r>
      <w:r>
        <w:rPr>
          <w:rFonts w:hint="eastAsia" w:ascii="仿宋_GB2312" w:eastAsia="仿宋_GB2312"/>
          <w:color w:val="auto"/>
          <w:highlight w:val="none"/>
          <w:lang w:val="en-US" w:eastAsia="zh-CN"/>
        </w:rPr>
        <w:t>（</w:t>
      </w:r>
      <w:r>
        <w:rPr>
          <w:rFonts w:hint="eastAsia" w:ascii="仿宋_GB2312" w:eastAsia="仿宋_GB2312"/>
          <w:b/>
          <w:bCs/>
          <w:color w:val="auto"/>
          <w:highlight w:val="none"/>
          <w:lang w:val="en-US" w:eastAsia="zh-CN"/>
        </w:rPr>
        <w:t>企业办税人员首次使用自然人电子税务局WEB端，需要法定代表人或财务负责人先登录，并为企业办税人员授予办税权限</w:t>
      </w:r>
      <w:r>
        <w:rPr>
          <w:rFonts w:hint="eastAsia" w:ascii="仿宋_GB2312" w:eastAsia="仿宋_GB2312"/>
          <w:color w:val="auto"/>
          <w:highlight w:val="none"/>
          <w:lang w:val="en-US" w:eastAsia="zh-CN"/>
        </w:rPr>
        <w:t>）</w:t>
      </w:r>
      <w:r>
        <w:rPr>
          <w:rFonts w:hint="eastAsia" w:ascii="仿宋_GB2312" w:eastAsia="仿宋_GB2312"/>
          <w:color w:val="auto"/>
          <w:highlight w:val="none"/>
          <w:lang w:val="en-US"/>
        </w:rPr>
        <w:t>，选择“单位办税”进入扣缴功能，然后依次点击“扣缴申报</w:t>
      </w:r>
      <w:r>
        <w:rPr>
          <w:rFonts w:hint="eastAsia" w:ascii="仿宋_GB2312" w:eastAsia="仿宋_GB2312"/>
          <w:color w:val="auto"/>
          <w:highlight w:val="none"/>
        </w:rPr>
        <w:t>→</w:t>
      </w:r>
      <w:r>
        <w:rPr>
          <w:rFonts w:hint="eastAsia" w:ascii="仿宋_GB2312" w:eastAsia="仿宋_GB2312"/>
          <w:color w:val="auto"/>
          <w:highlight w:val="none"/>
          <w:lang w:val="en-US"/>
        </w:rPr>
        <w:t>个人代开发票</w:t>
      </w:r>
      <w:r>
        <w:rPr>
          <w:rFonts w:hint="eastAsia" w:ascii="仿宋_GB2312" w:eastAsia="仿宋_GB2312"/>
          <w:color w:val="auto"/>
          <w:highlight w:val="none"/>
        </w:rPr>
        <w:t>→</w:t>
      </w:r>
      <w:r>
        <w:rPr>
          <w:rFonts w:hint="eastAsia" w:ascii="仿宋_GB2312" w:eastAsia="仿宋_GB2312"/>
          <w:color w:val="auto"/>
          <w:highlight w:val="none"/>
          <w:lang w:val="en-US"/>
        </w:rPr>
        <w:t>发票代开发起（劳务报酬）”进入功能页面</w:t>
      </w:r>
      <w:r>
        <w:rPr>
          <w:rFonts w:hint="eastAsia" w:ascii="仿宋_GB2312" w:eastAsia="仿宋_GB2312"/>
          <w:color w:val="auto"/>
          <w:highlight w:val="none"/>
        </w:rPr>
        <w:t>。</w:t>
      </w:r>
    </w:p>
    <w:p w14:paraId="56E0B964">
      <w:pPr>
        <w:pStyle w:val="29"/>
        <w:ind w:firstLine="720" w:firstLineChars="0"/>
        <w:jc w:val="center"/>
        <w:rPr>
          <w:color w:val="auto"/>
          <w:highlight w:val="none"/>
          <w:lang w:val="en-US" w:bidi="ar-SA"/>
        </w:rPr>
      </w:pPr>
      <w:r>
        <w:rPr>
          <w:color w:val="auto"/>
          <w:highlight w:val="none"/>
          <w:lang w:val="en-US" w:bidi="ar-SA"/>
        </w:rPr>
        <w:drawing>
          <wp:inline distT="0" distB="0" distL="114300" distR="114300">
            <wp:extent cx="2522220" cy="3346450"/>
            <wp:effectExtent l="0" t="0" r="1143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2522220" cy="3346450"/>
                    </a:xfrm>
                    <a:prstGeom prst="rect">
                      <a:avLst/>
                    </a:prstGeom>
                    <a:noFill/>
                    <a:ln>
                      <a:noFill/>
                    </a:ln>
                  </pic:spPr>
                </pic:pic>
              </a:graphicData>
            </a:graphic>
          </wp:inline>
        </w:drawing>
      </w:r>
    </w:p>
    <w:p w14:paraId="79DA7AE2">
      <w:pPr>
        <w:pStyle w:val="29"/>
        <w:ind w:firstLine="720" w:firstLineChars="0"/>
        <w:jc w:val="left"/>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在完成人员信息采集后，即可进入“</w:t>
      </w:r>
      <w:r>
        <w:rPr>
          <w:rFonts w:hint="eastAsia" w:ascii="仿宋_GB2312" w:eastAsia="仿宋_GB2312"/>
          <w:color w:val="auto"/>
          <w:highlight w:val="none"/>
          <w:lang w:val="en-US"/>
        </w:rPr>
        <w:t>发票代开发起（劳务报酬）”功能页面</w:t>
      </w:r>
      <w:r>
        <w:rPr>
          <w:rFonts w:hint="eastAsia" w:ascii="仿宋_GB2312" w:eastAsia="仿宋_GB2312"/>
          <w:color w:val="auto"/>
          <w:highlight w:val="none"/>
          <w:lang w:val="en-US" w:eastAsia="zh-CN"/>
        </w:rPr>
        <w:t>发起申请</w:t>
      </w:r>
      <w:r>
        <w:rPr>
          <w:rFonts w:hint="eastAsia" w:ascii="仿宋_GB2312" w:eastAsia="仿宋_GB2312"/>
          <w:color w:val="auto"/>
          <w:highlight w:val="none"/>
          <w:lang w:val="en-US"/>
        </w:rPr>
        <w:t>。</w:t>
      </w:r>
      <w:r>
        <w:rPr>
          <w:rFonts w:hint="eastAsia" w:ascii="仿宋_GB2312" w:eastAsia="仿宋_GB2312"/>
          <w:color w:val="auto"/>
          <w:highlight w:val="none"/>
          <w:lang w:val="en-US" w:eastAsia="zh-CN"/>
        </w:rPr>
        <w:t>人员信息可以按照境内人员、境外人员逐个录入，也可以下载模板，按照模板填表说明要求的格式填好人员信息表，通过导入功能批量录入。</w:t>
      </w:r>
    </w:p>
    <w:p w14:paraId="268F64AA">
      <w:pPr>
        <w:pStyle w:val="29"/>
        <w:ind w:firstLine="720" w:firstLineChars="0"/>
        <w:jc w:val="left"/>
        <w:rPr>
          <w:color w:val="auto"/>
          <w:highlight w:val="none"/>
        </w:rPr>
      </w:pPr>
      <w:r>
        <w:rPr>
          <w:color w:val="auto"/>
          <w:highlight w:val="none"/>
        </w:rPr>
        <w:drawing>
          <wp:inline distT="0" distB="0" distL="114300" distR="114300">
            <wp:extent cx="5588000" cy="3762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rcRect l="17440" t="20245" r="18165"/>
                    <a:stretch>
                      <a:fillRect/>
                    </a:stretch>
                  </pic:blipFill>
                  <pic:spPr>
                    <a:xfrm>
                      <a:off x="0" y="0"/>
                      <a:ext cx="5588000" cy="3762375"/>
                    </a:xfrm>
                    <a:prstGeom prst="rect">
                      <a:avLst/>
                    </a:prstGeom>
                    <a:noFill/>
                    <a:ln>
                      <a:noFill/>
                    </a:ln>
                  </pic:spPr>
                </pic:pic>
              </a:graphicData>
            </a:graphic>
          </wp:inline>
        </w:drawing>
      </w:r>
    </w:p>
    <w:p w14:paraId="15E7864F">
      <w:pPr>
        <w:pStyle w:val="29"/>
        <w:ind w:firstLine="720" w:firstLineChars="0"/>
        <w:jc w:val="left"/>
        <w:rPr>
          <w:rFonts w:hint="default" w:ascii="仿宋_GB2312" w:hAnsi="宋体" w:eastAsia="仿宋_GB2312" w:cs="宋体"/>
          <w:color w:val="auto"/>
          <w:highlight w:val="none"/>
          <w:lang w:val="en-US" w:eastAsia="zh-CN"/>
        </w:rPr>
      </w:pPr>
      <w:r>
        <w:rPr>
          <w:rFonts w:hint="eastAsia" w:ascii="仿宋_GB2312" w:hAnsi="宋体" w:eastAsia="仿宋_GB2312" w:cs="宋体"/>
          <w:color w:val="auto"/>
          <w:highlight w:val="none"/>
          <w:lang w:val="en-US" w:eastAsia="zh-CN"/>
        </w:rPr>
        <w:t>下图为境内人员的信息采集。</w:t>
      </w:r>
    </w:p>
    <w:p w14:paraId="0CD2FD87">
      <w:pPr>
        <w:pStyle w:val="29"/>
        <w:ind w:firstLine="720" w:firstLineChars="0"/>
        <w:jc w:val="left"/>
        <w:rPr>
          <w:rFonts w:hint="eastAsia" w:ascii="仿宋_GB2312" w:hAnsi="宋体" w:eastAsia="仿宋_GB2312" w:cs="宋体"/>
          <w:color w:val="auto"/>
          <w:highlight w:val="none"/>
          <w:lang w:val="en-US" w:eastAsia="zh-CN"/>
        </w:rPr>
      </w:pPr>
      <w:r>
        <w:rPr>
          <w:rFonts w:hint="eastAsia" w:ascii="仿宋_GB2312" w:eastAsia="宋体"/>
          <w:color w:val="auto"/>
          <w:highlight w:val="none"/>
          <w:lang w:eastAsia="zh-CN"/>
        </w:rPr>
        <w:drawing>
          <wp:inline distT="0" distB="0" distL="114300" distR="114300">
            <wp:extent cx="5614670" cy="3041015"/>
            <wp:effectExtent l="0" t="0" r="5080" b="6985"/>
            <wp:docPr id="14" name="图片 14" descr="微信图片_2025031409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314093811"/>
                    <pic:cNvPicPr>
                      <a:picLocks noChangeAspect="1"/>
                    </pic:cNvPicPr>
                  </pic:nvPicPr>
                  <pic:blipFill>
                    <a:blip r:embed="rId12"/>
                    <a:stretch>
                      <a:fillRect/>
                    </a:stretch>
                  </pic:blipFill>
                  <pic:spPr>
                    <a:xfrm>
                      <a:off x="0" y="0"/>
                      <a:ext cx="5614670" cy="3041015"/>
                    </a:xfrm>
                    <a:prstGeom prst="rect">
                      <a:avLst/>
                    </a:prstGeom>
                  </pic:spPr>
                </pic:pic>
              </a:graphicData>
            </a:graphic>
          </wp:inline>
        </w:drawing>
      </w:r>
      <w:r>
        <w:rPr>
          <w:rFonts w:hint="eastAsia" w:ascii="仿宋_GB2312" w:hAnsi="宋体" w:eastAsia="仿宋_GB2312" w:cs="宋体"/>
          <w:color w:val="auto"/>
          <w:highlight w:val="none"/>
          <w:lang w:val="en-US" w:eastAsia="zh-CN"/>
        </w:rPr>
        <w:t>下图为境外人员的信息采集。</w:t>
      </w:r>
    </w:p>
    <w:p w14:paraId="2D6E34A0">
      <w:pPr>
        <w:pStyle w:val="29"/>
        <w:ind w:firstLine="720" w:firstLineChars="0"/>
        <w:rPr>
          <w:rFonts w:hint="eastAsia" w:ascii="仿宋_GB2312" w:eastAsia="仿宋_GB2312"/>
          <w:color w:val="auto"/>
          <w:highlight w:val="none"/>
          <w:lang w:eastAsia="zh-CN"/>
        </w:rPr>
      </w:pPr>
      <w:r>
        <w:rPr>
          <w:rFonts w:hint="eastAsia" w:ascii="仿宋_GB2312" w:eastAsia="仿宋_GB2312"/>
          <w:color w:val="auto"/>
          <w:highlight w:val="none"/>
          <w:lang w:eastAsia="zh-CN"/>
        </w:rPr>
        <w:drawing>
          <wp:inline distT="0" distB="0" distL="114300" distR="114300">
            <wp:extent cx="5619750" cy="3050540"/>
            <wp:effectExtent l="0" t="0" r="0" b="16510"/>
            <wp:docPr id="18" name="图片 18" descr="人员信息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人员信息采集"/>
                    <pic:cNvPicPr>
                      <a:picLocks noChangeAspect="1"/>
                    </pic:cNvPicPr>
                  </pic:nvPicPr>
                  <pic:blipFill>
                    <a:blip r:embed="rId13"/>
                    <a:stretch>
                      <a:fillRect/>
                    </a:stretch>
                  </pic:blipFill>
                  <pic:spPr>
                    <a:xfrm>
                      <a:off x="0" y="0"/>
                      <a:ext cx="5619750" cy="3050540"/>
                    </a:xfrm>
                    <a:prstGeom prst="rect">
                      <a:avLst/>
                    </a:prstGeom>
                  </pic:spPr>
                </pic:pic>
              </a:graphicData>
            </a:graphic>
          </wp:inline>
        </w:drawing>
      </w:r>
    </w:p>
    <w:p w14:paraId="7A4E8080">
      <w:pPr>
        <w:pStyle w:val="29"/>
        <w:ind w:firstLine="720" w:firstLineChars="0"/>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任职受雇从业类型仅可选择“其他”，选错无法完成操作。</w:t>
      </w:r>
    </w:p>
    <w:p w14:paraId="120BD5CB">
      <w:pPr>
        <w:pStyle w:val="29"/>
        <w:ind w:firstLine="720" w:firstLineChars="0"/>
        <w:rPr>
          <w:rFonts w:hint="eastAsia" w:ascii="仿宋_GB2312" w:eastAsia="仿宋_GB2312"/>
          <w:color w:val="auto"/>
          <w:highlight w:val="none"/>
          <w:lang w:eastAsia="zh-CN"/>
        </w:rPr>
      </w:pPr>
      <w:r>
        <w:rPr>
          <w:color w:val="auto"/>
          <w:highlight w:val="none"/>
        </w:rPr>
        <w:drawing>
          <wp:inline distT="0" distB="0" distL="114300" distR="114300">
            <wp:extent cx="5607050" cy="4222115"/>
            <wp:effectExtent l="0" t="0" r="635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rcRect l="18445" t="12406" r="18703" b="528"/>
                    <a:stretch>
                      <a:fillRect/>
                    </a:stretch>
                  </pic:blipFill>
                  <pic:spPr>
                    <a:xfrm>
                      <a:off x="0" y="0"/>
                      <a:ext cx="5607050" cy="4222115"/>
                    </a:xfrm>
                    <a:prstGeom prst="rect">
                      <a:avLst/>
                    </a:prstGeom>
                    <a:noFill/>
                    <a:ln>
                      <a:noFill/>
                    </a:ln>
                  </pic:spPr>
                </pic:pic>
              </a:graphicData>
            </a:graphic>
          </wp:inline>
        </w:drawing>
      </w:r>
    </w:p>
    <w:p w14:paraId="041D8F42">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步骤二：发起申请</w:t>
      </w:r>
    </w:p>
    <w:p w14:paraId="2CD9705A">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eastAsia="zh-CN"/>
        </w:rPr>
        <w:t>选择维护好的销售方人员，</w:t>
      </w:r>
      <w:r>
        <w:rPr>
          <w:rFonts w:hint="eastAsia" w:ascii="仿宋_GB2312" w:eastAsia="仿宋_GB2312"/>
          <w:color w:val="auto"/>
          <w:highlight w:val="none"/>
          <w:lang w:val="en-US"/>
        </w:rPr>
        <w:t>点击“发起申请”按钮开始为代开申请人发起劳务报酬发票代开信息。</w:t>
      </w:r>
    </w:p>
    <w:p w14:paraId="30E61FA8">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114300" distR="114300">
            <wp:extent cx="5611495" cy="2787650"/>
            <wp:effectExtent l="0" t="0" r="190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611495" cy="2787650"/>
                    </a:xfrm>
                    <a:prstGeom prst="rect">
                      <a:avLst/>
                    </a:prstGeom>
                    <a:noFill/>
                    <a:ln>
                      <a:noFill/>
                    </a:ln>
                  </pic:spPr>
                </pic:pic>
              </a:graphicData>
            </a:graphic>
          </wp:inline>
        </w:drawing>
      </w:r>
    </w:p>
    <w:p w14:paraId="65EACA33">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步骤三：填写发票要素信息</w:t>
      </w:r>
    </w:p>
    <w:p w14:paraId="6D6D10EA">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页面包括“销售方信息”“购买方信息”“项目信息”“应税行为信息”“其他信息”。</w:t>
      </w:r>
    </w:p>
    <w:p w14:paraId="592DA435">
      <w:pPr>
        <w:pStyle w:val="29"/>
        <w:ind w:firstLine="0" w:firstLineChars="0"/>
        <w:rPr>
          <w:color w:val="auto"/>
          <w:highlight w:val="none"/>
          <w:lang w:val="en-US" w:bidi="ar-SA"/>
        </w:rPr>
      </w:pPr>
      <w:r>
        <w:rPr>
          <w:color w:val="auto"/>
          <w:highlight w:val="none"/>
          <w:lang w:val="en-US" w:bidi="ar-SA"/>
        </w:rPr>
        <w:drawing>
          <wp:inline distT="0" distB="0" distL="114300" distR="114300">
            <wp:extent cx="5615305" cy="3844290"/>
            <wp:effectExtent l="0" t="0" r="23495" b="165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6"/>
                    <a:srcRect t="6140"/>
                    <a:stretch>
                      <a:fillRect/>
                    </a:stretch>
                  </pic:blipFill>
                  <pic:spPr>
                    <a:xfrm>
                      <a:off x="0" y="0"/>
                      <a:ext cx="5615305" cy="3844290"/>
                    </a:xfrm>
                    <a:prstGeom prst="rect">
                      <a:avLst/>
                    </a:prstGeom>
                    <a:noFill/>
                    <a:ln>
                      <a:noFill/>
                    </a:ln>
                  </pic:spPr>
                </pic:pic>
              </a:graphicData>
            </a:graphic>
          </wp:inline>
        </w:drawing>
      </w:r>
    </w:p>
    <w:p w14:paraId="3AA42BBE">
      <w:pPr>
        <w:pStyle w:val="29"/>
        <w:ind w:firstLine="720" w:firstLineChars="0"/>
        <w:rPr>
          <w:rFonts w:hint="eastAsia" w:ascii="仿宋_GB2312" w:hAnsi="宋体" w:eastAsia="仿宋_GB2312" w:cs="宋体"/>
          <w:color w:val="auto"/>
          <w:highlight w:val="none"/>
          <w:lang w:val="en-US" w:eastAsia="zh-CN"/>
        </w:rPr>
      </w:pPr>
      <w:r>
        <w:rPr>
          <w:rFonts w:hint="eastAsia" w:ascii="仿宋_GB2312" w:hAnsi="宋体" w:eastAsia="仿宋_GB2312" w:cs="宋体"/>
          <w:color w:val="auto"/>
          <w:highlight w:val="none"/>
          <w:lang w:val="en-US" w:eastAsia="zh-CN"/>
        </w:rPr>
        <w:t>输入已完成人员信息采集的人员姓名，可自动带出人员身份证号码，核实无误后，需手动补充录入联系电话、地址、开户行、银行账号信息。</w:t>
      </w:r>
    </w:p>
    <w:p w14:paraId="0141939F">
      <w:pPr>
        <w:pStyle w:val="29"/>
        <w:ind w:firstLine="720" w:firstLineChars="0"/>
        <w:rPr>
          <w:rFonts w:hint="default"/>
          <w:color w:val="auto"/>
          <w:highlight w:val="none"/>
          <w:lang w:val="en-US" w:eastAsia="zh-CN" w:bidi="ar-SA"/>
        </w:rPr>
      </w:pPr>
      <w:r>
        <w:rPr>
          <w:rFonts w:hint="eastAsia" w:ascii="仿宋_GB2312" w:hAnsi="宋体" w:eastAsia="仿宋_GB2312" w:cs="宋体"/>
          <w:color w:val="auto"/>
          <w:highlight w:val="none"/>
          <w:lang w:val="en-US" w:eastAsia="zh-CN"/>
        </w:rPr>
        <w:t>点击“添加”按钮，添加项目信息。</w:t>
      </w:r>
    </w:p>
    <w:p w14:paraId="0130A314">
      <w:pPr>
        <w:pStyle w:val="29"/>
        <w:ind w:firstLine="0" w:firstLineChars="0"/>
        <w:rPr>
          <w:color w:val="auto"/>
          <w:highlight w:val="none"/>
          <w:lang w:val="en-US" w:bidi="ar-SA"/>
        </w:rPr>
      </w:pPr>
      <w:r>
        <w:rPr>
          <w:color w:val="auto"/>
          <w:highlight w:val="none"/>
          <w:lang w:val="en-US" w:bidi="ar-SA"/>
        </w:rPr>
        <w:drawing>
          <wp:inline distT="0" distB="0" distL="114300" distR="114300">
            <wp:extent cx="5615305" cy="3599180"/>
            <wp:effectExtent l="0" t="0" r="23495"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7"/>
                    <a:stretch>
                      <a:fillRect/>
                    </a:stretch>
                  </pic:blipFill>
                  <pic:spPr>
                    <a:xfrm>
                      <a:off x="0" y="0"/>
                      <a:ext cx="5615305" cy="3599180"/>
                    </a:xfrm>
                    <a:prstGeom prst="rect">
                      <a:avLst/>
                    </a:prstGeom>
                    <a:noFill/>
                    <a:ln>
                      <a:noFill/>
                    </a:ln>
                  </pic:spPr>
                </pic:pic>
              </a:graphicData>
            </a:graphic>
          </wp:inline>
        </w:drawing>
      </w:r>
    </w:p>
    <w:p w14:paraId="6D4A4D5C">
      <w:pPr>
        <w:pStyle w:val="29"/>
        <w:ind w:firstLine="0" w:firstLineChars="0"/>
        <w:rPr>
          <w:color w:val="auto"/>
          <w:highlight w:val="none"/>
          <w:lang w:val="en-US" w:bidi="ar-SA"/>
        </w:rPr>
      </w:pPr>
    </w:p>
    <w:p w14:paraId="7E6E6F6B">
      <w:pPr>
        <w:pStyle w:val="29"/>
        <w:ind w:firstLine="0" w:firstLineChars="0"/>
        <w:rPr>
          <w:color w:val="auto"/>
          <w:highlight w:val="none"/>
          <w:lang w:val="en-US" w:bidi="ar-SA"/>
        </w:rPr>
      </w:pPr>
    </w:p>
    <w:p w14:paraId="2D7786C1">
      <w:pPr>
        <w:pStyle w:val="29"/>
        <w:numPr>
          <w:ilvl w:val="0"/>
          <w:numId w:val="2"/>
        </w:numPr>
        <w:ind w:firstLineChars="0"/>
        <w:jc w:val="left"/>
        <w:rPr>
          <w:rFonts w:ascii="仿宋_GB2312" w:eastAsia="仿宋_GB2312"/>
          <w:color w:val="auto"/>
          <w:highlight w:val="none"/>
          <w:lang w:val="en-US"/>
        </w:rPr>
      </w:pPr>
      <w:r>
        <w:rPr>
          <w:rFonts w:hint="eastAsia" w:ascii="仿宋_GB2312" w:eastAsia="仿宋_GB2312"/>
          <w:b/>
          <w:bCs/>
          <w:color w:val="auto"/>
          <w:highlight w:val="none"/>
          <w:lang w:val="en-US"/>
        </w:rPr>
        <w:t>注意：</w:t>
      </w:r>
      <w:r>
        <w:rPr>
          <w:rFonts w:hint="eastAsia" w:ascii="仿宋_GB2312" w:eastAsia="仿宋_GB2312"/>
          <w:color w:val="auto"/>
          <w:highlight w:val="none"/>
          <w:lang w:val="en-US"/>
        </w:rPr>
        <w:t>销售方仅支持选择任职受雇从业类型为“其他”的人员，且销售方需已注册个人所得税APP。</w:t>
      </w:r>
    </w:p>
    <w:p w14:paraId="4FB663A8">
      <w:pPr>
        <w:pStyle w:val="29"/>
        <w:ind w:firstLine="720" w:firstLineChars="0"/>
        <w:jc w:val="left"/>
        <w:rPr>
          <w:rFonts w:ascii="仿宋_GB2312" w:eastAsia="仿宋_GB2312"/>
          <w:color w:val="auto"/>
          <w:highlight w:val="none"/>
          <w:lang w:val="en-US"/>
        </w:rPr>
      </w:pPr>
      <w:r>
        <w:rPr>
          <w:rFonts w:hint="eastAsia" w:ascii="仿宋_GB2312" w:eastAsia="仿宋_GB2312"/>
          <w:color w:val="auto"/>
          <w:highlight w:val="none"/>
          <w:lang w:val="en-US"/>
        </w:rPr>
        <w:t>选中人员后，可依次录入联系电话、地址、开户银行、银行账号信息。</w:t>
      </w:r>
    </w:p>
    <w:p w14:paraId="0DA44989">
      <w:pPr>
        <w:pStyle w:val="29"/>
        <w:ind w:firstLine="720" w:firstLineChars="0"/>
        <w:jc w:val="left"/>
        <w:rPr>
          <w:rFonts w:ascii="仿宋_GB2312" w:eastAsia="仿宋_GB2312"/>
          <w:color w:val="auto"/>
          <w:highlight w:val="none"/>
          <w:lang w:val="en-US"/>
        </w:rPr>
      </w:pPr>
      <w:r>
        <w:rPr>
          <w:rFonts w:hint="eastAsia" w:ascii="仿宋_GB2312" w:eastAsia="仿宋_GB2312"/>
          <w:color w:val="auto"/>
          <w:highlight w:val="none"/>
          <w:lang w:val="en-US"/>
        </w:rPr>
        <w:t>购买方信息：名称和纳税人识别号默认为本单位信息，不支持修改。可依次补充联系电话、地址、开户银行、银行账号信息。</w:t>
      </w:r>
    </w:p>
    <w:p w14:paraId="518305F2">
      <w:pPr>
        <w:pStyle w:val="29"/>
        <w:numPr>
          <w:ilvl w:val="0"/>
          <w:numId w:val="2"/>
        </w:numPr>
        <w:ind w:firstLineChars="0"/>
        <w:rPr>
          <w:rFonts w:ascii="仿宋_GB2312" w:eastAsia="仿宋_GB2312"/>
          <w:color w:val="auto"/>
          <w:highlight w:val="none"/>
          <w:lang w:val="en-US"/>
        </w:rPr>
      </w:pPr>
      <w:r>
        <w:rPr>
          <w:rFonts w:hint="eastAsia" w:ascii="仿宋_GB2312" w:eastAsia="仿宋_GB2312"/>
          <w:b/>
          <w:bCs/>
          <w:color w:val="auto"/>
          <w:highlight w:val="none"/>
          <w:lang w:val="en-US"/>
        </w:rPr>
        <w:t>注意：</w:t>
      </w:r>
      <w:r>
        <w:rPr>
          <w:rFonts w:hint="eastAsia" w:ascii="仿宋_GB2312" w:eastAsia="仿宋_GB2312"/>
          <w:color w:val="auto"/>
          <w:highlight w:val="none"/>
          <w:lang w:val="en-US"/>
        </w:rPr>
        <w:t>经办人信息为本次填写劳务费代开申请信息的纳税人实名信息，不支持修改。</w:t>
      </w:r>
    </w:p>
    <w:p w14:paraId="619844DF">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项目信息：点击“添加”按钮进入新增项目信息窗口。录入项目名称，点击“智能赋码”选择匹配的税收分类编码名称，然后依次录入规格型号、计量单位、数量、单价（含税）、金额（含税）、税率/征收率信息，然后点击“确定”完成添加。</w:t>
      </w:r>
    </w:p>
    <w:p w14:paraId="05D59E30">
      <w:pPr>
        <w:pStyle w:val="29"/>
        <w:ind w:firstLine="0" w:firstLineChars="0"/>
        <w:rPr>
          <w:rFonts w:ascii="仿宋_GB2312" w:eastAsia="仿宋_GB2312"/>
          <w:color w:val="auto"/>
          <w:highlight w:val="none"/>
          <w:lang w:val="en-US"/>
        </w:rPr>
      </w:pPr>
      <w:r>
        <w:rPr>
          <w:color w:val="auto"/>
          <w:highlight w:val="none"/>
          <w:lang w:val="en-US" w:bidi="ar-SA"/>
        </w:rPr>
        <w:drawing>
          <wp:inline distT="0" distB="0" distL="114300" distR="114300">
            <wp:extent cx="5615305" cy="3115310"/>
            <wp:effectExtent l="0" t="0" r="23495"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8"/>
                    <a:stretch>
                      <a:fillRect/>
                    </a:stretch>
                  </pic:blipFill>
                  <pic:spPr>
                    <a:xfrm>
                      <a:off x="0" y="0"/>
                      <a:ext cx="5615305" cy="3115310"/>
                    </a:xfrm>
                    <a:prstGeom prst="rect">
                      <a:avLst/>
                    </a:prstGeom>
                    <a:noFill/>
                    <a:ln>
                      <a:noFill/>
                    </a:ln>
                  </pic:spPr>
                </pic:pic>
              </a:graphicData>
            </a:graphic>
          </wp:inline>
        </w:drawing>
      </w:r>
    </w:p>
    <w:p w14:paraId="0A0833C7">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应税行为信息：应税行为发生地默认企业主管税务机关所在地，不支持修改；个人所得税项目默认为劳务报酬，不支持修改。</w:t>
      </w:r>
    </w:p>
    <w:p w14:paraId="5AC7CA57">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备注信息：可选择录入，默认内容：“购买方应在次月15日前代扣代缴销售方个人所得税，未按规定扣缴的，该发票不得作为所得税前合法有效扣除凭证。”</w:t>
      </w:r>
    </w:p>
    <w:p w14:paraId="68D8DDDD">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步骤四：提交</w:t>
      </w:r>
    </w:p>
    <w:p w14:paraId="39F11330">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完成以上信息录入后，点击“提交”进入确认信息页面，对信息确认无误后，点击“确定提交”按钮完成提交。</w:t>
      </w:r>
    </w:p>
    <w:p w14:paraId="08BA7E4F">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提交成功后，代开申请人的个人所得税APP同步收到相应的“劳务费发票代开申请”待办。</w:t>
      </w:r>
    </w:p>
    <w:p w14:paraId="1B93BEDA">
      <w:pPr>
        <w:numPr>
          <w:ilvl w:val="1"/>
          <w:numId w:val="1"/>
        </w:numPr>
        <w:ind w:firstLine="640"/>
        <w:outlineLvl w:val="1"/>
        <w:rPr>
          <w:rFonts w:ascii="仿宋_GB2312" w:hAnsi="黑体" w:eastAsia="仿宋_GB2312"/>
          <w:b/>
          <w:bCs/>
          <w:color w:val="auto"/>
          <w:highlight w:val="none"/>
          <w:lang w:val="en-US"/>
        </w:rPr>
      </w:pPr>
      <w:bookmarkStart w:id="10" w:name="_Toc23011"/>
      <w:r>
        <w:rPr>
          <w:rFonts w:hint="eastAsia" w:ascii="仿宋_GB2312" w:hAnsi="黑体" w:eastAsia="仿宋_GB2312"/>
          <w:b/>
          <w:bCs/>
          <w:color w:val="auto"/>
          <w:highlight w:val="none"/>
          <w:lang w:val="en-US"/>
        </w:rPr>
        <w:t>办理“劳务费发票代开申请”待办</w:t>
      </w:r>
      <w:bookmarkEnd w:id="10"/>
    </w:p>
    <w:p w14:paraId="2BF6A5D1">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步骤一：登录个人所得税APP</w:t>
      </w:r>
    </w:p>
    <w:p w14:paraId="43188BE5">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若企业已为代开申请人（销售方）发起劳务费发票代开申请信息，则代开申请人登录个人所得税APP，进入待办频道页，可查看到“劳务费发票代开申请”待办。</w:t>
      </w:r>
    </w:p>
    <w:p w14:paraId="35218C34">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114300" distR="114300">
            <wp:extent cx="2160270" cy="4677410"/>
            <wp:effectExtent l="0" t="0" r="24130" b="215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2160270" cy="4677410"/>
                    </a:xfrm>
                    <a:prstGeom prst="rect">
                      <a:avLst/>
                    </a:prstGeom>
                    <a:noFill/>
                    <a:ln>
                      <a:noFill/>
                    </a:ln>
                  </pic:spPr>
                </pic:pic>
              </a:graphicData>
            </a:graphic>
          </wp:inline>
        </w:drawing>
      </w:r>
    </w:p>
    <w:p w14:paraId="70057EF7">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步骤二：进入代开申请流程</w:t>
      </w:r>
    </w:p>
    <w:p w14:paraId="1D158615">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点击待办的“去处理”，进入发票信息确认页面。</w:t>
      </w:r>
    </w:p>
    <w:p w14:paraId="2987AED0">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在“发票信息”页面，代开申请人确认企业预填的销售方信息、购买方信息、项目信息、应税地信息、备注信息是否正确，不支持代开申请人修改，如有异常，可联系企业修改。</w:t>
      </w:r>
    </w:p>
    <w:p w14:paraId="44B98193">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补充说明：企业可登录WEB端在“发票代开发起（劳务报酬）”功能进行修改。</w:t>
      </w:r>
    </w:p>
    <w:p w14:paraId="606F3748">
      <w:pPr>
        <w:pStyle w:val="2"/>
        <w:ind w:firstLine="0" w:firstLineChars="0"/>
        <w:jc w:val="center"/>
        <w:rPr>
          <w:rFonts w:ascii="仿宋_GB2312" w:eastAsia="仿宋_GB2312"/>
          <w:color w:val="auto"/>
          <w:highlight w:val="none"/>
          <w:lang w:val="en-US"/>
        </w:rPr>
      </w:pPr>
      <w:r>
        <w:rPr>
          <w:rFonts w:hint="eastAsia"/>
          <w:color w:val="auto"/>
          <w:highlight w:val="none"/>
          <w:lang w:val="en-US"/>
        </w:rPr>
        <w:t xml:space="preserve"> </w:t>
      </w:r>
      <w:r>
        <w:rPr>
          <w:color w:val="auto"/>
          <w:highlight w:val="none"/>
          <w:lang w:val="en-US" w:bidi="ar-SA"/>
        </w:rPr>
        <w:drawing>
          <wp:inline distT="0" distB="0" distL="114300" distR="114300">
            <wp:extent cx="1561465" cy="4679950"/>
            <wp:effectExtent l="0" t="0" r="13335" b="190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1561465" cy="4679950"/>
                    </a:xfrm>
                    <a:prstGeom prst="rect">
                      <a:avLst/>
                    </a:prstGeom>
                    <a:noFill/>
                    <a:ln>
                      <a:noFill/>
                    </a:ln>
                  </pic:spPr>
                </pic:pic>
              </a:graphicData>
            </a:graphic>
          </wp:inline>
        </w:drawing>
      </w:r>
      <w:r>
        <w:rPr>
          <w:rFonts w:hint="eastAsia"/>
          <w:color w:val="auto"/>
          <w:highlight w:val="none"/>
          <w:lang w:val="en-US"/>
        </w:rPr>
        <w:t xml:space="preserve">  </w:t>
      </w:r>
      <w:r>
        <w:rPr>
          <w:color w:val="auto"/>
          <w:highlight w:val="none"/>
          <w:lang w:val="en-US" w:bidi="ar-SA"/>
        </w:rPr>
        <w:drawing>
          <wp:inline distT="0" distB="0" distL="114300" distR="114300">
            <wp:extent cx="1990090" cy="4679950"/>
            <wp:effectExtent l="0" t="0" r="1651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1990090" cy="4679950"/>
                    </a:xfrm>
                    <a:prstGeom prst="rect">
                      <a:avLst/>
                    </a:prstGeom>
                    <a:noFill/>
                    <a:ln>
                      <a:noFill/>
                    </a:ln>
                  </pic:spPr>
                </pic:pic>
              </a:graphicData>
            </a:graphic>
          </wp:inline>
        </w:drawing>
      </w:r>
    </w:p>
    <w:p w14:paraId="722E77EE">
      <w:pPr>
        <w:pStyle w:val="29"/>
        <w:ind w:firstLine="720" w:firstLineChars="0"/>
        <w:rPr>
          <w:rFonts w:ascii="仿宋_GB2312" w:eastAsia="仿宋_GB2312"/>
          <w:color w:val="auto"/>
          <w:highlight w:val="none"/>
          <w:lang w:val="en-US"/>
        </w:rPr>
      </w:pPr>
      <w:r>
        <w:rPr>
          <w:rFonts w:ascii="仿宋_GB2312" w:eastAsia="仿宋_GB2312"/>
          <w:color w:val="auto"/>
          <w:highlight w:val="none"/>
          <w:lang w:val="en-US"/>
        </w:rPr>
        <w:t>确认申请信息无误后，点击“下一步”</w:t>
      </w:r>
      <w:r>
        <w:rPr>
          <w:rFonts w:hint="eastAsia" w:ascii="仿宋_GB2312" w:eastAsia="仿宋_GB2312"/>
          <w:color w:val="auto"/>
          <w:highlight w:val="none"/>
          <w:lang w:val="en-US"/>
        </w:rPr>
        <w:t>进入税款计算页面，确认增值税、城市维护建设税、教育费附加、地方教育附加等各项征收项目应纳税额、减免税额、应缴税额等信息。</w:t>
      </w:r>
    </w:p>
    <w:p w14:paraId="494FC2E2">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确认无误后，点击提交完成代开申请信息提交。</w:t>
      </w:r>
    </w:p>
    <w:p w14:paraId="10B8ABF6">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114300" distR="114300">
            <wp:extent cx="1805940" cy="4676140"/>
            <wp:effectExtent l="0" t="0" r="22860" b="228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1805940" cy="4676140"/>
                    </a:xfrm>
                    <a:prstGeom prst="rect">
                      <a:avLst/>
                    </a:prstGeom>
                    <a:noFill/>
                    <a:ln>
                      <a:noFill/>
                    </a:ln>
                  </pic:spPr>
                </pic:pic>
              </a:graphicData>
            </a:graphic>
          </wp:inline>
        </w:drawing>
      </w:r>
      <w:r>
        <w:rPr>
          <w:rFonts w:hint="eastAsia"/>
          <w:color w:val="auto"/>
          <w:highlight w:val="none"/>
          <w:lang w:val="en-US"/>
        </w:rPr>
        <w:t xml:space="preserve"> </w:t>
      </w:r>
      <w:r>
        <w:rPr>
          <w:color w:val="auto"/>
          <w:highlight w:val="none"/>
          <w:lang w:val="en-US" w:bidi="ar-SA"/>
        </w:rPr>
        <w:drawing>
          <wp:inline distT="0" distB="0" distL="114300" distR="114300">
            <wp:extent cx="2160270" cy="4677410"/>
            <wp:effectExtent l="0" t="0" r="24130" b="215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2160270" cy="4677410"/>
                    </a:xfrm>
                    <a:prstGeom prst="rect">
                      <a:avLst/>
                    </a:prstGeom>
                    <a:noFill/>
                    <a:ln>
                      <a:noFill/>
                    </a:ln>
                  </pic:spPr>
                </pic:pic>
              </a:graphicData>
            </a:graphic>
          </wp:inline>
        </w:drawing>
      </w:r>
    </w:p>
    <w:p w14:paraId="72C46DDB">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步骤三：税款缴纳</w:t>
      </w:r>
    </w:p>
    <w:p w14:paraId="110B6A19">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代开申请提交后，进入税款缴纳流程。选择缴款方式，通过选择的缴款支付应用完成支付后，回到个人所得税APP，确认支付结果。</w:t>
      </w:r>
    </w:p>
    <w:p w14:paraId="37B70C5D">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114300" distR="114300">
            <wp:extent cx="2160270" cy="4677410"/>
            <wp:effectExtent l="0" t="0" r="24130" b="215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4"/>
                    <a:stretch>
                      <a:fillRect/>
                    </a:stretch>
                  </pic:blipFill>
                  <pic:spPr>
                    <a:xfrm>
                      <a:off x="0" y="0"/>
                      <a:ext cx="2160270" cy="4677410"/>
                    </a:xfrm>
                    <a:prstGeom prst="rect">
                      <a:avLst/>
                    </a:prstGeom>
                    <a:noFill/>
                    <a:ln>
                      <a:noFill/>
                    </a:ln>
                  </pic:spPr>
                </pic:pic>
              </a:graphicData>
            </a:graphic>
          </wp:inline>
        </w:drawing>
      </w:r>
      <w:r>
        <w:rPr>
          <w:rFonts w:hint="eastAsia"/>
          <w:color w:val="auto"/>
          <w:highlight w:val="none"/>
          <w:lang w:val="en-US"/>
        </w:rPr>
        <w:t xml:space="preserve"> </w:t>
      </w:r>
      <w:r>
        <w:rPr>
          <w:color w:val="auto"/>
          <w:highlight w:val="none"/>
          <w:lang w:val="en-US" w:bidi="ar-SA"/>
        </w:rPr>
        <w:drawing>
          <wp:inline distT="0" distB="0" distL="114300" distR="114300">
            <wp:extent cx="2156460" cy="4676140"/>
            <wp:effectExtent l="0" t="0" r="2540" b="2286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a:stretch>
                      <a:fillRect/>
                    </a:stretch>
                  </pic:blipFill>
                  <pic:spPr>
                    <a:xfrm>
                      <a:off x="0" y="0"/>
                      <a:ext cx="2156460" cy="4676140"/>
                    </a:xfrm>
                    <a:prstGeom prst="rect">
                      <a:avLst/>
                    </a:prstGeom>
                    <a:noFill/>
                    <a:ln>
                      <a:noFill/>
                    </a:ln>
                  </pic:spPr>
                </pic:pic>
              </a:graphicData>
            </a:graphic>
          </wp:inline>
        </w:drawing>
      </w:r>
    </w:p>
    <w:p w14:paraId="2B025C14">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步骤四：发票开具</w:t>
      </w:r>
    </w:p>
    <w:p w14:paraId="31998FA1">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税款缴纳成功后，系统将自动开具发票。点击“查看发票”进入发票详情页面，可预览和下载电子发票。点击“查看完税证明”进入完税凭证下载页面，可将凭证下载保存至本地。</w:t>
      </w:r>
    </w:p>
    <w:p w14:paraId="1062CCAC">
      <w:pPr>
        <w:pStyle w:val="29"/>
        <w:ind w:firstLine="0" w:firstLineChars="0"/>
        <w:jc w:val="center"/>
        <w:rPr>
          <w:color w:val="auto"/>
          <w:highlight w:val="none"/>
        </w:rPr>
      </w:pPr>
      <w:r>
        <w:rPr>
          <w:color w:val="auto"/>
          <w:highlight w:val="none"/>
          <w:lang w:val="en-US" w:bidi="ar-SA"/>
        </w:rPr>
        <w:drawing>
          <wp:inline distT="0" distB="0" distL="114300" distR="114300">
            <wp:extent cx="2160270" cy="4676140"/>
            <wp:effectExtent l="0" t="0" r="24130" b="228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6"/>
                    <a:stretch>
                      <a:fillRect/>
                    </a:stretch>
                  </pic:blipFill>
                  <pic:spPr>
                    <a:xfrm>
                      <a:off x="0" y="0"/>
                      <a:ext cx="2160270" cy="4676140"/>
                    </a:xfrm>
                    <a:prstGeom prst="rect">
                      <a:avLst/>
                    </a:prstGeom>
                    <a:noFill/>
                    <a:ln>
                      <a:noFill/>
                    </a:ln>
                  </pic:spPr>
                </pic:pic>
              </a:graphicData>
            </a:graphic>
          </wp:inline>
        </w:drawing>
      </w:r>
    </w:p>
    <w:p w14:paraId="1EABF88A">
      <w:pPr>
        <w:numPr>
          <w:ilvl w:val="1"/>
          <w:numId w:val="1"/>
        </w:numPr>
        <w:ind w:firstLine="640"/>
        <w:outlineLvl w:val="1"/>
        <w:rPr>
          <w:rFonts w:ascii="仿宋_GB2312" w:hAnsi="黑体" w:eastAsia="仿宋_GB2312"/>
          <w:b/>
          <w:bCs/>
          <w:color w:val="auto"/>
          <w:highlight w:val="none"/>
          <w:lang w:val="en-US"/>
        </w:rPr>
      </w:pPr>
      <w:bookmarkStart w:id="11" w:name="_Toc23008"/>
      <w:r>
        <w:rPr>
          <w:rFonts w:hint="eastAsia" w:ascii="仿宋_GB2312" w:hAnsi="黑体" w:eastAsia="仿宋_GB2312"/>
          <w:b/>
          <w:bCs/>
          <w:color w:val="auto"/>
          <w:highlight w:val="none"/>
          <w:lang w:val="en-US"/>
        </w:rPr>
        <w:t>查看发票</w:t>
      </w:r>
      <w:bookmarkEnd w:id="11"/>
    </w:p>
    <w:p w14:paraId="63B2B400">
      <w:pPr>
        <w:ind w:firstLine="720"/>
        <w:rPr>
          <w:rFonts w:ascii="仿宋_GB2312" w:eastAsia="仿宋_GB2312"/>
          <w:b/>
          <w:bCs/>
          <w:color w:val="auto"/>
          <w:highlight w:val="none"/>
          <w:lang w:val="en-US"/>
        </w:rPr>
      </w:pPr>
      <w:r>
        <w:rPr>
          <w:rFonts w:hint="eastAsia" w:ascii="仿宋_GB2312" w:eastAsia="仿宋_GB2312"/>
          <w:b/>
          <w:bCs/>
          <w:color w:val="auto"/>
          <w:highlight w:val="none"/>
          <w:lang w:val="en-US" w:eastAsia="zh-CN"/>
        </w:rPr>
        <w:t>（1）</w:t>
      </w:r>
      <w:r>
        <w:rPr>
          <w:rFonts w:hint="eastAsia" w:ascii="仿宋_GB2312" w:eastAsia="仿宋_GB2312"/>
          <w:b/>
          <w:bCs/>
          <w:color w:val="auto"/>
          <w:highlight w:val="none"/>
          <w:lang w:val="en-US"/>
        </w:rPr>
        <w:t>销售方查看发票</w:t>
      </w:r>
    </w:p>
    <w:p w14:paraId="190A0FB8">
      <w:pPr>
        <w:ind w:firstLine="720"/>
        <w:rPr>
          <w:rFonts w:ascii="仿宋_GB2312" w:eastAsia="仿宋_GB2312"/>
          <w:color w:val="auto"/>
          <w:highlight w:val="none"/>
          <w:lang w:val="en-US"/>
        </w:rPr>
      </w:pPr>
      <w:r>
        <w:rPr>
          <w:rFonts w:hint="eastAsia" w:ascii="仿宋_GB2312" w:eastAsia="仿宋_GB2312"/>
          <w:color w:val="auto"/>
          <w:highlight w:val="none"/>
          <w:lang w:val="en-US"/>
        </w:rPr>
        <w:t>销售方完成发票开具后，在“办&amp;查”频道，点击“发票管理→我的票夹→我销售的”可查看到已开具的代开发票。</w:t>
      </w:r>
    </w:p>
    <w:p w14:paraId="5CC4F5BA">
      <w:pPr>
        <w:ind w:firstLine="720"/>
        <w:rPr>
          <w:rFonts w:ascii="仿宋_GB2312" w:eastAsia="仿宋_GB2312"/>
          <w:b/>
          <w:bCs/>
          <w:color w:val="auto"/>
          <w:highlight w:val="none"/>
          <w:lang w:val="en-US"/>
        </w:rPr>
      </w:pPr>
      <w:r>
        <w:rPr>
          <w:rFonts w:hint="eastAsia" w:ascii="仿宋_GB2312" w:eastAsia="仿宋_GB2312"/>
          <w:b/>
          <w:bCs/>
          <w:color w:val="auto"/>
          <w:highlight w:val="none"/>
          <w:lang w:val="en-US" w:eastAsia="zh-CN"/>
        </w:rPr>
        <w:t>（2）</w:t>
      </w:r>
      <w:r>
        <w:rPr>
          <w:rFonts w:hint="eastAsia" w:ascii="仿宋_GB2312" w:eastAsia="仿宋_GB2312"/>
          <w:b/>
          <w:bCs/>
          <w:color w:val="auto"/>
          <w:highlight w:val="none"/>
          <w:lang w:val="en-US"/>
        </w:rPr>
        <w:t>经办人查看发票</w:t>
      </w:r>
    </w:p>
    <w:p w14:paraId="70CC7F9D">
      <w:pPr>
        <w:ind w:firstLine="720"/>
        <w:rPr>
          <w:rFonts w:ascii="仿宋_GB2312" w:eastAsia="仿宋_GB2312"/>
          <w:color w:val="auto"/>
          <w:highlight w:val="none"/>
          <w:lang w:val="en-US"/>
        </w:rPr>
      </w:pPr>
      <w:r>
        <w:rPr>
          <w:rFonts w:hint="eastAsia" w:ascii="仿宋_GB2312" w:eastAsia="仿宋_GB2312"/>
          <w:color w:val="auto"/>
          <w:highlight w:val="none"/>
          <w:lang w:val="en-US"/>
        </w:rPr>
        <w:t>销售方完成发票开具后，发起发票代开的</w:t>
      </w:r>
      <w:r>
        <w:rPr>
          <w:rFonts w:hint="eastAsia" w:ascii="仿宋_GB2312" w:eastAsia="仿宋_GB2312"/>
          <w:b/>
          <w:bCs/>
          <w:color w:val="auto"/>
          <w:highlight w:val="none"/>
          <w:lang w:val="en-US"/>
        </w:rPr>
        <w:t>经办人</w:t>
      </w:r>
      <w:r>
        <w:rPr>
          <w:rFonts w:hint="eastAsia" w:ascii="仿宋_GB2312" w:eastAsia="仿宋_GB2312"/>
          <w:color w:val="auto"/>
          <w:highlight w:val="none"/>
          <w:lang w:val="en-US"/>
        </w:rPr>
        <w:t>也可登录</w:t>
      </w:r>
      <w:r>
        <w:rPr>
          <w:rFonts w:hint="eastAsia" w:ascii="仿宋_GB2312" w:eastAsia="仿宋_GB2312"/>
          <w:b/>
          <w:bCs/>
          <w:color w:val="auto"/>
          <w:highlight w:val="none"/>
          <w:lang w:val="en-US" w:eastAsia="zh-CN"/>
        </w:rPr>
        <w:t>本人的</w:t>
      </w:r>
      <w:r>
        <w:rPr>
          <w:rFonts w:hint="eastAsia" w:ascii="仿宋_GB2312" w:eastAsia="仿宋_GB2312"/>
          <w:b w:val="0"/>
          <w:bCs w:val="0"/>
          <w:color w:val="auto"/>
          <w:highlight w:val="none"/>
          <w:lang w:val="en-US"/>
        </w:rPr>
        <w:t>个人所得税APP</w:t>
      </w:r>
      <w:r>
        <w:rPr>
          <w:rFonts w:hint="eastAsia" w:ascii="仿宋_GB2312" w:eastAsia="仿宋_GB2312"/>
          <w:color w:val="auto"/>
          <w:highlight w:val="none"/>
          <w:lang w:val="en-US"/>
        </w:rPr>
        <w:t>查看发票。经办人进入“我的票夹”功能，在“我经办的”页签下可查看到发票。点击发票卡片，进入发票详情页。</w:t>
      </w:r>
    </w:p>
    <w:p w14:paraId="3086743E">
      <w:pPr>
        <w:pStyle w:val="2"/>
        <w:ind w:firstLine="0" w:firstLineChars="0"/>
        <w:jc w:val="center"/>
        <w:rPr>
          <w:color w:val="auto"/>
          <w:highlight w:val="none"/>
          <w:lang w:val="en-US"/>
        </w:rPr>
      </w:pPr>
      <w:r>
        <w:rPr>
          <w:color w:val="auto"/>
          <w:highlight w:val="none"/>
          <w:lang w:val="en-US" w:bidi="ar-SA"/>
        </w:rPr>
        <w:drawing>
          <wp:inline distT="0" distB="0" distL="114300" distR="114300">
            <wp:extent cx="2160270" cy="4504690"/>
            <wp:effectExtent l="0" t="0" r="24130"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7"/>
                    <a:stretch>
                      <a:fillRect/>
                    </a:stretch>
                  </pic:blipFill>
                  <pic:spPr>
                    <a:xfrm>
                      <a:off x="0" y="0"/>
                      <a:ext cx="2160270" cy="4504690"/>
                    </a:xfrm>
                    <a:prstGeom prst="rect">
                      <a:avLst/>
                    </a:prstGeom>
                    <a:noFill/>
                    <a:ln>
                      <a:noFill/>
                    </a:ln>
                  </pic:spPr>
                </pic:pic>
              </a:graphicData>
            </a:graphic>
          </wp:inline>
        </w:drawing>
      </w:r>
      <w:r>
        <w:rPr>
          <w:rFonts w:hint="eastAsia"/>
          <w:color w:val="auto"/>
          <w:highlight w:val="none"/>
          <w:lang w:val="en-US"/>
        </w:rPr>
        <w:t xml:space="preserve"> </w:t>
      </w:r>
      <w:r>
        <w:rPr>
          <w:color w:val="auto"/>
          <w:highlight w:val="none"/>
          <w:lang w:val="en-US" w:bidi="ar-SA"/>
        </w:rPr>
        <w:drawing>
          <wp:inline distT="0" distB="0" distL="114300" distR="114300">
            <wp:extent cx="2160270" cy="4504690"/>
            <wp:effectExtent l="0" t="0" r="24130" b="165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8"/>
                    <a:stretch>
                      <a:fillRect/>
                    </a:stretch>
                  </pic:blipFill>
                  <pic:spPr>
                    <a:xfrm>
                      <a:off x="0" y="0"/>
                      <a:ext cx="2160270" cy="4504690"/>
                    </a:xfrm>
                    <a:prstGeom prst="rect">
                      <a:avLst/>
                    </a:prstGeom>
                    <a:noFill/>
                    <a:ln>
                      <a:noFill/>
                    </a:ln>
                  </pic:spPr>
                </pic:pic>
              </a:graphicData>
            </a:graphic>
          </wp:inline>
        </w:drawing>
      </w:r>
    </w:p>
    <w:p w14:paraId="166B0C13">
      <w:pPr>
        <w:numPr>
          <w:ilvl w:val="1"/>
          <w:numId w:val="1"/>
        </w:numPr>
        <w:ind w:firstLine="640"/>
        <w:outlineLvl w:val="1"/>
        <w:rPr>
          <w:rFonts w:ascii="仿宋_GB2312" w:hAnsi="黑体" w:eastAsia="仿宋_GB2312"/>
          <w:b/>
          <w:bCs/>
          <w:color w:val="auto"/>
          <w:highlight w:val="none"/>
          <w:lang w:val="en-US"/>
        </w:rPr>
      </w:pPr>
      <w:bookmarkStart w:id="12" w:name="_Toc15980"/>
      <w:r>
        <w:rPr>
          <w:rFonts w:hint="eastAsia" w:ascii="仿宋_GB2312" w:hAnsi="黑体" w:eastAsia="仿宋_GB2312"/>
          <w:b/>
          <w:bCs/>
          <w:color w:val="auto"/>
          <w:highlight w:val="none"/>
          <w:lang w:val="en-US"/>
        </w:rPr>
        <w:t>查看代开申请记录</w:t>
      </w:r>
      <w:bookmarkEnd w:id="12"/>
    </w:p>
    <w:p w14:paraId="33EEEF3B">
      <w:pPr>
        <w:pStyle w:val="29"/>
        <w:ind w:firstLine="720" w:firstLineChars="0"/>
        <w:rPr>
          <w:rFonts w:hint="eastAsia" w:ascii="仿宋_GB2312" w:eastAsia="仿宋_GB2312"/>
          <w:color w:val="auto"/>
          <w:highlight w:val="none"/>
          <w:lang w:val="en-US" w:eastAsia="zh-CN"/>
        </w:rPr>
      </w:pPr>
      <w:r>
        <w:rPr>
          <w:rFonts w:hint="eastAsia" w:ascii="仿宋_GB2312" w:eastAsia="仿宋_GB2312"/>
          <w:color w:val="auto"/>
          <w:highlight w:val="none"/>
          <w:lang w:val="en-US"/>
        </w:rPr>
        <w:t>发起发票代开的</w:t>
      </w:r>
      <w:r>
        <w:rPr>
          <w:rFonts w:hint="eastAsia" w:ascii="仿宋_GB2312" w:eastAsia="仿宋_GB2312"/>
          <w:b/>
          <w:bCs/>
          <w:color w:val="auto"/>
          <w:highlight w:val="none"/>
          <w:lang w:val="en-US"/>
        </w:rPr>
        <w:t>经办人</w:t>
      </w:r>
      <w:r>
        <w:rPr>
          <w:rFonts w:hint="eastAsia" w:ascii="仿宋_GB2312" w:eastAsia="仿宋_GB2312"/>
          <w:color w:val="auto"/>
          <w:highlight w:val="none"/>
          <w:lang w:val="en-US"/>
        </w:rPr>
        <w:t>进入“办&amp;查”频道，点击“发票管理→开票申请记录”可查看到历史待申请、待缴款、已开具、已作废等代开申请记录。</w:t>
      </w:r>
      <w:r>
        <w:rPr>
          <w:rFonts w:hint="eastAsia" w:ascii="仿宋_GB2312" w:eastAsia="仿宋_GB2312"/>
          <w:color w:val="auto"/>
          <w:highlight w:val="none"/>
          <w:lang w:val="en-US" w:eastAsia="zh-CN"/>
        </w:rPr>
        <w:t>（代开申请记录取决于自然人销售方收到待开票申请后的处理结果）</w:t>
      </w:r>
    </w:p>
    <w:p w14:paraId="44A35E27">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点击记录信息，将进入记录详情页面，可查看具体记录信息，包括缴款信息、购买方信息、项目信息和备注信息四部分。</w:t>
      </w:r>
    </w:p>
    <w:p w14:paraId="1B61BC7C">
      <w:pPr>
        <w:pStyle w:val="2"/>
        <w:tabs>
          <w:tab w:val="left" w:pos="5914"/>
        </w:tabs>
        <w:ind w:firstLine="0" w:firstLineChars="0"/>
        <w:jc w:val="center"/>
        <w:rPr>
          <w:color w:val="auto"/>
          <w:highlight w:val="none"/>
        </w:rPr>
      </w:pPr>
      <w:r>
        <w:rPr>
          <w:color w:val="auto"/>
          <w:highlight w:val="none"/>
          <w:lang w:val="en-US" w:bidi="ar-SA"/>
        </w:rPr>
        <w:drawing>
          <wp:inline distT="0" distB="0" distL="114300" distR="114300">
            <wp:extent cx="2159000" cy="5400040"/>
            <wp:effectExtent l="0" t="0" r="0" b="1016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2159000" cy="5400040"/>
                    </a:xfrm>
                    <a:prstGeom prst="rect">
                      <a:avLst/>
                    </a:prstGeom>
                    <a:noFill/>
                    <a:ln>
                      <a:noFill/>
                    </a:ln>
                  </pic:spPr>
                </pic:pic>
              </a:graphicData>
            </a:graphic>
          </wp:inline>
        </w:drawing>
      </w:r>
      <w:r>
        <w:rPr>
          <w:rFonts w:hint="eastAsia"/>
          <w:color w:val="auto"/>
          <w:highlight w:val="none"/>
          <w:lang w:val="en-US"/>
        </w:rPr>
        <w:t xml:space="preserve">  </w:t>
      </w:r>
      <w:r>
        <w:rPr>
          <w:color w:val="auto"/>
          <w:highlight w:val="none"/>
          <w:lang w:val="en-US" w:bidi="ar-SA"/>
        </w:rPr>
        <w:drawing>
          <wp:inline distT="0" distB="0" distL="114300" distR="114300">
            <wp:extent cx="2388235" cy="5400040"/>
            <wp:effectExtent l="0" t="0" r="2476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2388235" cy="5400040"/>
                    </a:xfrm>
                    <a:prstGeom prst="rect">
                      <a:avLst/>
                    </a:prstGeom>
                    <a:noFill/>
                    <a:ln>
                      <a:noFill/>
                    </a:ln>
                  </pic:spPr>
                </pic:pic>
              </a:graphicData>
            </a:graphic>
          </wp:inline>
        </w:drawing>
      </w:r>
    </w:p>
    <w:p w14:paraId="2B463A49">
      <w:pPr>
        <w:pStyle w:val="29"/>
        <w:ind w:firstLine="0" w:firstLineChars="0"/>
        <w:jc w:val="center"/>
        <w:rPr>
          <w:color w:val="auto"/>
          <w:highlight w:val="none"/>
        </w:rPr>
      </w:pPr>
      <w:r>
        <w:rPr>
          <w:color w:val="auto"/>
          <w:highlight w:val="none"/>
          <w:lang w:val="en-US" w:bidi="ar-SA"/>
        </w:rPr>
        <w:drawing>
          <wp:inline distT="0" distB="0" distL="114300" distR="114300">
            <wp:extent cx="2160270" cy="7862570"/>
            <wp:effectExtent l="0" t="0" r="24130" b="1143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1"/>
                    <a:stretch>
                      <a:fillRect/>
                    </a:stretch>
                  </pic:blipFill>
                  <pic:spPr>
                    <a:xfrm>
                      <a:off x="0" y="0"/>
                      <a:ext cx="2160270" cy="7862570"/>
                    </a:xfrm>
                    <a:prstGeom prst="rect">
                      <a:avLst/>
                    </a:prstGeom>
                    <a:noFill/>
                    <a:ln>
                      <a:noFill/>
                    </a:ln>
                  </pic:spPr>
                </pic:pic>
              </a:graphicData>
            </a:graphic>
          </wp:inline>
        </w:drawing>
      </w:r>
    </w:p>
    <w:p w14:paraId="39602DA4">
      <w:pPr>
        <w:numPr>
          <w:ilvl w:val="1"/>
          <w:numId w:val="1"/>
        </w:numPr>
        <w:ind w:firstLine="640"/>
        <w:outlineLvl w:val="1"/>
        <w:rPr>
          <w:rFonts w:hint="eastAsia" w:ascii="仿宋_GB2312" w:hAnsi="黑体" w:eastAsia="仿宋_GB2312"/>
          <w:b/>
          <w:bCs/>
          <w:color w:val="auto"/>
          <w:highlight w:val="none"/>
          <w:lang w:val="en-US"/>
        </w:rPr>
      </w:pPr>
      <w:bookmarkStart w:id="13" w:name="_Toc16111"/>
      <w:r>
        <w:rPr>
          <w:rFonts w:hint="eastAsia" w:ascii="仿宋_GB2312" w:hAnsi="黑体" w:eastAsia="仿宋_GB2312"/>
          <w:b/>
          <w:bCs/>
          <w:color w:val="auto"/>
          <w:highlight w:val="none"/>
          <w:lang w:val="en-US" w:eastAsia="zh-CN"/>
        </w:rPr>
        <w:t>红字发票开具</w:t>
      </w:r>
      <w:bookmarkEnd w:id="13"/>
    </w:p>
    <w:p w14:paraId="4B195FF7">
      <w:pPr>
        <w:pStyle w:val="2"/>
        <w:jc w:val="left"/>
        <w:rPr>
          <w:rFonts w:hint="eastAsia" w:ascii="仿宋_GB2312" w:hAnsi="宋体" w:eastAsia="仿宋_GB2312" w:cs="宋体"/>
          <w:color w:val="auto"/>
          <w:sz w:val="32"/>
          <w:szCs w:val="22"/>
          <w:highlight w:val="none"/>
          <w:lang w:val="en-US" w:eastAsia="zh-CN" w:bidi="zh-CN"/>
        </w:rPr>
      </w:pPr>
      <w:r>
        <w:rPr>
          <w:rFonts w:hint="eastAsia" w:ascii="仿宋_GB2312" w:hAnsi="宋体" w:eastAsia="仿宋_GB2312" w:cs="宋体"/>
          <w:color w:val="auto"/>
          <w:sz w:val="32"/>
          <w:szCs w:val="22"/>
          <w:highlight w:val="none"/>
          <w:lang w:val="en-US" w:eastAsia="zh-CN" w:bidi="zh-CN"/>
        </w:rPr>
        <w:t>若发票开具有误，自然人销售方可通过电子税务局app“办&amp;查”频道，进入“发票使用”模块“红字发票代开”功能进行红字发票代开。（目前，暂时按照此方式开具红字发票）</w:t>
      </w:r>
    </w:p>
    <w:p w14:paraId="6553561D">
      <w:pPr>
        <w:pStyle w:val="2"/>
        <w:jc w:val="center"/>
        <w:rPr>
          <w:rFonts w:hint="eastAsia" w:ascii="仿宋_GB2312" w:hAnsi="宋体" w:eastAsia="仿宋_GB2312" w:cs="宋体"/>
          <w:color w:val="auto"/>
          <w:sz w:val="32"/>
          <w:szCs w:val="22"/>
          <w:highlight w:val="none"/>
          <w:lang w:val="en-US" w:eastAsia="zh-CN" w:bidi="zh-CN"/>
        </w:rPr>
      </w:pPr>
      <w:r>
        <w:rPr>
          <w:rFonts w:hint="eastAsia" w:ascii="仿宋_GB2312" w:hAnsi="宋体" w:eastAsia="仿宋_GB2312" w:cs="宋体"/>
          <w:color w:val="auto"/>
          <w:sz w:val="32"/>
          <w:szCs w:val="22"/>
          <w:highlight w:val="none"/>
          <w:lang w:val="en-US" w:eastAsia="zh-CN" w:bidi="zh-CN"/>
        </w:rPr>
        <w:drawing>
          <wp:inline distT="0" distB="0" distL="114300" distR="114300">
            <wp:extent cx="2476500" cy="4716780"/>
            <wp:effectExtent l="0" t="0" r="0" b="7620"/>
            <wp:docPr id="16" name="图片 16" descr="红字代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红字代开"/>
                    <pic:cNvPicPr>
                      <a:picLocks noChangeAspect="1"/>
                    </pic:cNvPicPr>
                  </pic:nvPicPr>
                  <pic:blipFill>
                    <a:blip r:embed="rId32"/>
                    <a:stretch>
                      <a:fillRect/>
                    </a:stretch>
                  </pic:blipFill>
                  <pic:spPr>
                    <a:xfrm>
                      <a:off x="0" y="0"/>
                      <a:ext cx="2476500" cy="4716780"/>
                    </a:xfrm>
                    <a:prstGeom prst="rect">
                      <a:avLst/>
                    </a:prstGeom>
                  </pic:spPr>
                </pic:pic>
              </a:graphicData>
            </a:graphic>
          </wp:inline>
        </w:drawing>
      </w:r>
    </w:p>
    <w:p w14:paraId="74DF9C29">
      <w:pPr>
        <w:numPr>
          <w:ilvl w:val="1"/>
          <w:numId w:val="1"/>
        </w:numPr>
        <w:ind w:firstLine="640"/>
        <w:outlineLvl w:val="1"/>
        <w:rPr>
          <w:rFonts w:ascii="仿宋_GB2312" w:hAnsi="黑体" w:eastAsia="仿宋_GB2312"/>
          <w:b/>
          <w:bCs/>
          <w:color w:val="auto"/>
          <w:highlight w:val="none"/>
          <w:lang w:val="en-US"/>
        </w:rPr>
      </w:pPr>
      <w:bookmarkStart w:id="14" w:name="_Toc24548"/>
      <w:r>
        <w:rPr>
          <w:rFonts w:hint="eastAsia" w:ascii="仿宋_GB2312" w:hAnsi="黑体" w:eastAsia="仿宋_GB2312"/>
          <w:b/>
          <w:bCs/>
          <w:color w:val="auto"/>
          <w:highlight w:val="none"/>
          <w:lang w:val="en-US"/>
        </w:rPr>
        <w:t>扣缴申报关联发票</w:t>
      </w:r>
      <w:bookmarkEnd w:id="14"/>
    </w:p>
    <w:p w14:paraId="1F6D30E2">
      <w:pPr>
        <w:pStyle w:val="29"/>
        <w:ind w:firstLine="720" w:firstLineChars="0"/>
        <w:rPr>
          <w:rFonts w:hint="default" w:ascii="仿宋_GB2312" w:eastAsia="仿宋_GB2312"/>
          <w:b/>
          <w:bCs/>
          <w:color w:val="auto"/>
          <w:highlight w:val="none"/>
          <w:lang w:val="en-US" w:eastAsia="zh-CN"/>
        </w:rPr>
      </w:pPr>
      <w:r>
        <w:rPr>
          <w:rFonts w:hint="eastAsia" w:ascii="仿宋_GB2312" w:eastAsia="仿宋_GB2312"/>
          <w:color w:val="auto"/>
          <w:highlight w:val="none"/>
          <w:lang w:val="en-US" w:eastAsia="zh-CN"/>
        </w:rPr>
        <w:t>企业办税人员可</w:t>
      </w:r>
      <w:r>
        <w:rPr>
          <w:rFonts w:hint="eastAsia" w:ascii="仿宋_GB2312" w:eastAsia="仿宋_GB2312"/>
          <w:color w:val="auto"/>
          <w:highlight w:val="none"/>
          <w:lang w:val="en-US"/>
        </w:rPr>
        <w:t>登录自然人电子税务局WEB端通过“个人代开发票明细查询”扣缴申报关联发票</w:t>
      </w:r>
      <w:r>
        <w:rPr>
          <w:rFonts w:hint="eastAsia" w:ascii="仿宋_GB2312" w:eastAsia="仿宋_GB2312"/>
          <w:color w:val="auto"/>
          <w:highlight w:val="none"/>
          <w:lang w:val="en-US" w:eastAsia="zh-CN"/>
        </w:rPr>
        <w:t>或</w:t>
      </w:r>
      <w:r>
        <w:rPr>
          <w:rFonts w:hint="eastAsia" w:ascii="仿宋_GB2312" w:eastAsia="仿宋_GB2312"/>
          <w:color w:val="auto"/>
          <w:highlight w:val="none"/>
          <w:lang w:val="en-US"/>
        </w:rPr>
        <w:t>通过“扣缴申报”</w:t>
      </w:r>
      <w:r>
        <w:rPr>
          <w:rFonts w:hint="eastAsia" w:ascii="仿宋_GB2312" w:eastAsia="仿宋_GB2312"/>
          <w:color w:val="auto"/>
          <w:highlight w:val="none"/>
          <w:lang w:val="en-US" w:eastAsia="zh-CN"/>
        </w:rPr>
        <w:t>页面</w:t>
      </w:r>
      <w:r>
        <w:rPr>
          <w:rFonts w:hint="eastAsia" w:ascii="仿宋_GB2312" w:eastAsia="仿宋_GB2312"/>
          <w:color w:val="auto"/>
          <w:highlight w:val="none"/>
          <w:lang w:val="en-US"/>
        </w:rPr>
        <w:t>关联发票</w:t>
      </w:r>
      <w:r>
        <w:rPr>
          <w:rFonts w:hint="eastAsia" w:ascii="仿宋_GB2312" w:eastAsia="仿宋_GB2312"/>
          <w:color w:val="auto"/>
          <w:highlight w:val="none"/>
          <w:lang w:val="en-US" w:eastAsia="zh-CN"/>
        </w:rPr>
        <w:t>两种操作方式完成关联发票扣缴申报。</w:t>
      </w:r>
    </w:p>
    <w:p w14:paraId="1FA144BF">
      <w:pPr>
        <w:pStyle w:val="29"/>
        <w:ind w:firstLine="720" w:firstLineChars="0"/>
        <w:outlineLvl w:val="2"/>
        <w:rPr>
          <w:rFonts w:hint="eastAsia" w:ascii="仿宋_GB2312" w:eastAsia="仿宋_GB2312"/>
          <w:color w:val="auto"/>
          <w:highlight w:val="none"/>
          <w:lang w:val="en-US" w:eastAsia="zh-CN"/>
        </w:rPr>
      </w:pPr>
      <w:bookmarkStart w:id="15" w:name="_Toc20159"/>
      <w:r>
        <w:rPr>
          <w:rFonts w:hint="eastAsia" w:ascii="仿宋_GB2312" w:eastAsia="仿宋_GB2312"/>
          <w:b/>
          <w:bCs/>
          <w:color w:val="auto"/>
          <w:highlight w:val="none"/>
          <w:lang w:val="en-US" w:eastAsia="zh-CN"/>
        </w:rPr>
        <w:t>操作方式1</w:t>
      </w:r>
      <w:r>
        <w:rPr>
          <w:rFonts w:hint="eastAsia" w:ascii="仿宋_GB2312" w:eastAsia="仿宋_GB2312"/>
          <w:b/>
          <w:bCs/>
          <w:color w:val="auto"/>
          <w:highlight w:val="none"/>
          <w:lang w:val="en-US"/>
        </w:rPr>
        <w:t>：</w:t>
      </w:r>
      <w:r>
        <w:rPr>
          <w:rFonts w:hint="eastAsia" w:ascii="仿宋_GB2312" w:eastAsia="仿宋_GB2312"/>
          <w:color w:val="auto"/>
          <w:highlight w:val="none"/>
          <w:lang w:val="en-US"/>
        </w:rPr>
        <w:t>通过“个人代开发票明细查询”扣缴申报关联发票</w:t>
      </w:r>
      <w:r>
        <w:rPr>
          <w:rFonts w:hint="eastAsia" w:ascii="仿宋_GB2312" w:eastAsia="仿宋_GB2312"/>
          <w:color w:val="auto"/>
          <w:highlight w:val="none"/>
          <w:lang w:val="en-US" w:eastAsia="zh-CN"/>
        </w:rPr>
        <w:t>。</w:t>
      </w:r>
      <w:bookmarkEnd w:id="15"/>
    </w:p>
    <w:p w14:paraId="4B2A243E">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步骤一：登录自然人电子税务局WEB端</w:t>
      </w:r>
    </w:p>
    <w:p w14:paraId="049F58B5">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企业办税人员登录自然人电子税务局WEB端，选择“单位办税”进入扣缴功能，然后依次点击“扣缴申报</w:t>
      </w:r>
      <w:r>
        <w:rPr>
          <w:rFonts w:hint="eastAsia" w:ascii="仿宋_GB2312" w:eastAsia="仿宋_GB2312"/>
          <w:color w:val="auto"/>
          <w:highlight w:val="none"/>
        </w:rPr>
        <w:t>→</w:t>
      </w:r>
      <w:r>
        <w:rPr>
          <w:rFonts w:hint="eastAsia" w:ascii="仿宋_GB2312" w:eastAsia="仿宋_GB2312"/>
          <w:color w:val="auto"/>
          <w:highlight w:val="none"/>
          <w:lang w:val="en-US"/>
        </w:rPr>
        <w:t>个人代开发票</w:t>
      </w:r>
      <w:r>
        <w:rPr>
          <w:rFonts w:hint="eastAsia" w:ascii="仿宋_GB2312" w:eastAsia="仿宋_GB2312"/>
          <w:color w:val="auto"/>
          <w:highlight w:val="none"/>
        </w:rPr>
        <w:t>→</w:t>
      </w:r>
      <w:r>
        <w:rPr>
          <w:rFonts w:hint="eastAsia" w:ascii="仿宋_GB2312" w:eastAsia="仿宋_GB2312"/>
          <w:color w:val="auto"/>
          <w:highlight w:val="none"/>
          <w:lang w:val="en-US"/>
        </w:rPr>
        <w:t>个人代开发票明细查询”进入功能页面</w:t>
      </w:r>
      <w:r>
        <w:rPr>
          <w:rFonts w:hint="eastAsia" w:ascii="仿宋_GB2312" w:eastAsia="仿宋_GB2312"/>
          <w:color w:val="auto"/>
          <w:highlight w:val="none"/>
        </w:rPr>
        <w:t>。</w:t>
      </w:r>
    </w:p>
    <w:p w14:paraId="3E754C9B">
      <w:pPr>
        <w:pStyle w:val="29"/>
        <w:ind w:firstLine="0" w:firstLineChars="0"/>
        <w:rPr>
          <w:color w:val="auto"/>
          <w:highlight w:val="none"/>
        </w:rPr>
      </w:pPr>
      <w:r>
        <w:rPr>
          <w:color w:val="auto"/>
          <w:highlight w:val="none"/>
          <w:lang w:val="en-US" w:bidi="ar-SA"/>
        </w:rPr>
        <w:drawing>
          <wp:inline distT="0" distB="0" distL="114300" distR="114300">
            <wp:extent cx="5615305" cy="4226560"/>
            <wp:effectExtent l="0" t="0" r="23495" b="1524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3"/>
                    <a:stretch>
                      <a:fillRect/>
                    </a:stretch>
                  </pic:blipFill>
                  <pic:spPr>
                    <a:xfrm>
                      <a:off x="0" y="0"/>
                      <a:ext cx="5615305" cy="4226560"/>
                    </a:xfrm>
                    <a:prstGeom prst="rect">
                      <a:avLst/>
                    </a:prstGeom>
                    <a:noFill/>
                    <a:ln>
                      <a:noFill/>
                    </a:ln>
                  </pic:spPr>
                </pic:pic>
              </a:graphicData>
            </a:graphic>
          </wp:inline>
        </w:drawing>
      </w:r>
    </w:p>
    <w:p w14:paraId="2ED93BEA">
      <w:pPr>
        <w:pStyle w:val="29"/>
        <w:ind w:firstLine="720" w:firstLineChars="0"/>
        <w:rPr>
          <w:b/>
          <w:bCs/>
          <w:color w:val="auto"/>
          <w:highlight w:val="none"/>
          <w:lang w:val="en-US"/>
        </w:rPr>
      </w:pPr>
      <w:r>
        <w:rPr>
          <w:rFonts w:hint="eastAsia" w:ascii="仿宋_GB2312" w:eastAsia="仿宋_GB2312"/>
          <w:b/>
          <w:bCs/>
          <w:color w:val="auto"/>
          <w:highlight w:val="none"/>
          <w:lang w:val="en-US"/>
        </w:rPr>
        <w:t>步骤二：扣缴申报</w:t>
      </w:r>
    </w:p>
    <w:p w14:paraId="5DD1CB9C">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勾选需要与扣缴申报关联的发票，点击“扣缴申报”，进入扣缴申报页面，同时系统基于代开发票数据自动生成本月扣缴申报信息。点击姓名，可查看到生成的扣缴申报明细信息。</w:t>
      </w:r>
    </w:p>
    <w:p w14:paraId="474301E8">
      <w:pPr>
        <w:pStyle w:val="29"/>
        <w:ind w:firstLine="0" w:firstLineChars="0"/>
        <w:rPr>
          <w:color w:val="auto"/>
          <w:highlight w:val="none"/>
        </w:rPr>
      </w:pPr>
      <w:r>
        <w:rPr>
          <w:color w:val="auto"/>
          <w:highlight w:val="none"/>
          <w:lang w:val="en-US" w:bidi="ar-SA"/>
        </w:rPr>
        <w:drawing>
          <wp:inline distT="0" distB="0" distL="114300" distR="114300">
            <wp:extent cx="5615940" cy="4182110"/>
            <wp:effectExtent l="0" t="0" r="22860" b="889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4"/>
                    <a:stretch>
                      <a:fillRect/>
                    </a:stretch>
                  </pic:blipFill>
                  <pic:spPr>
                    <a:xfrm>
                      <a:off x="0" y="0"/>
                      <a:ext cx="5615940" cy="4182110"/>
                    </a:xfrm>
                    <a:prstGeom prst="rect">
                      <a:avLst/>
                    </a:prstGeom>
                    <a:noFill/>
                    <a:ln>
                      <a:noFill/>
                    </a:ln>
                  </pic:spPr>
                </pic:pic>
              </a:graphicData>
            </a:graphic>
          </wp:inline>
        </w:drawing>
      </w:r>
    </w:p>
    <w:p w14:paraId="392D9707">
      <w:pPr>
        <w:pStyle w:val="29"/>
        <w:ind w:firstLine="0" w:firstLineChars="0"/>
        <w:rPr>
          <w:color w:val="auto"/>
          <w:highlight w:val="none"/>
        </w:rPr>
      </w:pPr>
      <w:r>
        <w:rPr>
          <w:color w:val="auto"/>
          <w:highlight w:val="none"/>
          <w:lang w:val="en-US" w:bidi="ar-SA"/>
        </w:rPr>
        <w:drawing>
          <wp:inline distT="0" distB="0" distL="114300" distR="114300">
            <wp:extent cx="5614035" cy="4230370"/>
            <wp:effectExtent l="0" t="0" r="24765" b="1143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5"/>
                    <a:stretch>
                      <a:fillRect/>
                    </a:stretch>
                  </pic:blipFill>
                  <pic:spPr>
                    <a:xfrm>
                      <a:off x="0" y="0"/>
                      <a:ext cx="5614035" cy="4230370"/>
                    </a:xfrm>
                    <a:prstGeom prst="rect">
                      <a:avLst/>
                    </a:prstGeom>
                    <a:noFill/>
                    <a:ln>
                      <a:noFill/>
                    </a:ln>
                  </pic:spPr>
                </pic:pic>
              </a:graphicData>
            </a:graphic>
          </wp:inline>
        </w:drawing>
      </w:r>
    </w:p>
    <w:p w14:paraId="67FFE07C">
      <w:pPr>
        <w:pStyle w:val="29"/>
        <w:ind w:firstLine="720" w:firstLineChars="0"/>
        <w:outlineLvl w:val="2"/>
        <w:rPr>
          <w:rFonts w:hint="eastAsia" w:ascii="仿宋_GB2312" w:eastAsia="仿宋_GB2312"/>
          <w:color w:val="auto"/>
          <w:highlight w:val="none"/>
          <w:lang w:val="en-US" w:eastAsia="zh-CN"/>
        </w:rPr>
      </w:pPr>
      <w:bookmarkStart w:id="16" w:name="_Toc8558"/>
      <w:r>
        <w:rPr>
          <w:rFonts w:hint="eastAsia" w:ascii="仿宋_GB2312" w:eastAsia="仿宋_GB2312"/>
          <w:b/>
          <w:bCs/>
          <w:color w:val="auto"/>
          <w:highlight w:val="none"/>
          <w:lang w:val="en-US" w:eastAsia="zh-CN"/>
        </w:rPr>
        <w:t>操作方式2</w:t>
      </w:r>
      <w:r>
        <w:rPr>
          <w:rFonts w:hint="eastAsia" w:ascii="仿宋_GB2312" w:eastAsia="仿宋_GB2312"/>
          <w:b/>
          <w:bCs/>
          <w:color w:val="auto"/>
          <w:highlight w:val="none"/>
          <w:lang w:val="en-US"/>
        </w:rPr>
        <w:t>：</w:t>
      </w:r>
      <w:r>
        <w:rPr>
          <w:rFonts w:hint="eastAsia" w:ascii="仿宋_GB2312" w:eastAsia="仿宋_GB2312"/>
          <w:color w:val="auto"/>
          <w:highlight w:val="none"/>
          <w:lang w:val="en-US"/>
        </w:rPr>
        <w:t>通过“扣缴申报”关联发票</w:t>
      </w:r>
      <w:r>
        <w:rPr>
          <w:rFonts w:hint="eastAsia" w:ascii="仿宋_GB2312" w:eastAsia="仿宋_GB2312"/>
          <w:color w:val="auto"/>
          <w:highlight w:val="none"/>
          <w:lang w:val="en-US" w:eastAsia="zh-CN"/>
        </w:rPr>
        <w:t>。</w:t>
      </w:r>
      <w:bookmarkEnd w:id="16"/>
    </w:p>
    <w:p w14:paraId="341EE953">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步骤一：登录自然人电子税务局WEB端</w:t>
      </w:r>
    </w:p>
    <w:p w14:paraId="0E54B14E">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企业办税人员登录自然人电子税务局WEB端，选择“单位办税”进入扣缴功能，然后依次点击“扣缴申报</w:t>
      </w:r>
      <w:r>
        <w:rPr>
          <w:rFonts w:hint="eastAsia" w:ascii="仿宋_GB2312" w:eastAsia="仿宋_GB2312"/>
          <w:color w:val="auto"/>
          <w:highlight w:val="none"/>
        </w:rPr>
        <w:t>→</w:t>
      </w:r>
      <w:r>
        <w:rPr>
          <w:rFonts w:hint="eastAsia" w:ascii="仿宋_GB2312" w:eastAsia="仿宋_GB2312"/>
          <w:color w:val="auto"/>
          <w:highlight w:val="none"/>
          <w:lang w:val="en-US"/>
        </w:rPr>
        <w:t>综合所得申报</w:t>
      </w:r>
      <w:r>
        <w:rPr>
          <w:rFonts w:hint="eastAsia" w:ascii="仿宋_GB2312" w:eastAsia="仿宋_GB2312"/>
          <w:color w:val="auto"/>
          <w:highlight w:val="none"/>
        </w:rPr>
        <w:t>→</w:t>
      </w:r>
      <w:r>
        <w:rPr>
          <w:rFonts w:hint="eastAsia" w:ascii="仿宋_GB2312" w:eastAsia="仿宋_GB2312"/>
          <w:color w:val="auto"/>
          <w:highlight w:val="none"/>
          <w:lang w:val="en-US"/>
        </w:rPr>
        <w:t>劳务报酬（不适用累计预扣法）”进入功能页面</w:t>
      </w:r>
      <w:r>
        <w:rPr>
          <w:rFonts w:hint="eastAsia" w:ascii="仿宋_GB2312" w:eastAsia="仿宋_GB2312"/>
          <w:color w:val="auto"/>
          <w:highlight w:val="none"/>
        </w:rPr>
        <w:t>。</w:t>
      </w:r>
    </w:p>
    <w:p w14:paraId="2C239C34">
      <w:pPr>
        <w:pStyle w:val="29"/>
        <w:ind w:firstLine="0" w:firstLineChars="0"/>
        <w:rPr>
          <w:rFonts w:ascii="仿宋_GB2312" w:eastAsia="仿宋_GB2312"/>
          <w:color w:val="auto"/>
          <w:highlight w:val="none"/>
        </w:rPr>
      </w:pPr>
      <w:r>
        <w:rPr>
          <w:color w:val="auto"/>
          <w:highlight w:val="none"/>
          <w:lang w:val="en-US" w:bidi="ar-SA"/>
        </w:rPr>
        <w:drawing>
          <wp:inline distT="0" distB="0" distL="114300" distR="114300">
            <wp:extent cx="5615305" cy="4559935"/>
            <wp:effectExtent l="0" t="0" r="23495" b="1206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6"/>
                    <a:stretch>
                      <a:fillRect/>
                    </a:stretch>
                  </pic:blipFill>
                  <pic:spPr>
                    <a:xfrm>
                      <a:off x="0" y="0"/>
                      <a:ext cx="5615305" cy="4559935"/>
                    </a:xfrm>
                    <a:prstGeom prst="rect">
                      <a:avLst/>
                    </a:prstGeom>
                    <a:noFill/>
                    <a:ln>
                      <a:noFill/>
                    </a:ln>
                  </pic:spPr>
                </pic:pic>
              </a:graphicData>
            </a:graphic>
          </wp:inline>
        </w:drawing>
      </w:r>
    </w:p>
    <w:p w14:paraId="271A80CE">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步骤二：点击待扣缴发票明细</w:t>
      </w:r>
    </w:p>
    <w:p w14:paraId="0FC7F75D">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点击页面上方区域“查询”按钮左侧的“待扣缴发票明细”按钮，将出现弹窗，展示非汇总代开的所得项目为劳务报酬所得、申报状态为未申报或部分申报、发票状态为正常的发票数据。可单选或多选发票数据，点击“导入申报”按钮，系统根据发票信息自动生成相应的申报数据。</w:t>
      </w:r>
    </w:p>
    <w:p w14:paraId="434AECE2">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114300" distR="114300">
            <wp:extent cx="4448175" cy="3209925"/>
            <wp:effectExtent l="0" t="0" r="22225" b="158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7"/>
                    <a:stretch>
                      <a:fillRect/>
                    </a:stretch>
                  </pic:blipFill>
                  <pic:spPr>
                    <a:xfrm>
                      <a:off x="0" y="0"/>
                      <a:ext cx="4448175" cy="3209925"/>
                    </a:xfrm>
                    <a:prstGeom prst="rect">
                      <a:avLst/>
                    </a:prstGeom>
                    <a:noFill/>
                    <a:ln>
                      <a:noFill/>
                    </a:ln>
                  </pic:spPr>
                </pic:pic>
              </a:graphicData>
            </a:graphic>
          </wp:inline>
        </w:drawing>
      </w:r>
    </w:p>
    <w:p w14:paraId="7ADAE8B5">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步骤三：在录入扣缴申报时关联发票</w:t>
      </w:r>
    </w:p>
    <w:p w14:paraId="332D80FC">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也可以在录入扣缴申报收入信息时手动关联发票。点击“添加”按钮进入扣缴申报填写页面，选择需扣缴申报的自然人。</w:t>
      </w:r>
    </w:p>
    <w:p w14:paraId="6D5899C4">
      <w:pPr>
        <w:pStyle w:val="29"/>
        <w:ind w:firstLine="0" w:firstLineChars="0"/>
        <w:rPr>
          <w:color w:val="auto"/>
          <w:highlight w:val="none"/>
        </w:rPr>
      </w:pPr>
      <w:r>
        <w:rPr>
          <w:color w:val="auto"/>
          <w:highlight w:val="none"/>
          <w:lang w:val="en-US" w:bidi="ar-SA"/>
        </w:rPr>
        <w:drawing>
          <wp:inline distT="0" distB="0" distL="114300" distR="114300">
            <wp:extent cx="5617845" cy="4274820"/>
            <wp:effectExtent l="0" t="0" r="20955" b="1778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8"/>
                    <a:stretch>
                      <a:fillRect/>
                    </a:stretch>
                  </pic:blipFill>
                  <pic:spPr>
                    <a:xfrm>
                      <a:off x="0" y="0"/>
                      <a:ext cx="5617845" cy="4274820"/>
                    </a:xfrm>
                    <a:prstGeom prst="rect">
                      <a:avLst/>
                    </a:prstGeom>
                    <a:noFill/>
                    <a:ln>
                      <a:noFill/>
                    </a:ln>
                  </pic:spPr>
                </pic:pic>
              </a:graphicData>
            </a:graphic>
          </wp:inline>
        </w:drawing>
      </w:r>
    </w:p>
    <w:p w14:paraId="69C48005">
      <w:pPr>
        <w:pStyle w:val="29"/>
        <w:ind w:firstLine="720" w:firstLineChars="0"/>
        <w:rPr>
          <w:color w:val="auto"/>
          <w:highlight w:val="none"/>
        </w:rPr>
      </w:pPr>
      <w:r>
        <w:rPr>
          <w:rFonts w:hint="eastAsia" w:ascii="仿宋_GB2312" w:eastAsia="仿宋_GB2312"/>
          <w:color w:val="auto"/>
          <w:highlight w:val="none"/>
          <w:lang w:val="en-US"/>
        </w:rPr>
        <w:t>下方“是否关联发票信息”选择“是”，弹窗显示该自然人未扣缴申报的代开发票信息，企业办税人员可勾选发票来与申报关联。</w:t>
      </w:r>
    </w:p>
    <w:p w14:paraId="59B7F5CD">
      <w:pPr>
        <w:pStyle w:val="29"/>
        <w:ind w:firstLine="0" w:firstLineChars="0"/>
        <w:rPr>
          <w:color w:val="auto"/>
          <w:highlight w:val="none"/>
        </w:rPr>
      </w:pPr>
      <w:r>
        <w:rPr>
          <w:color w:val="auto"/>
          <w:highlight w:val="none"/>
          <w:lang w:val="en-US" w:bidi="ar-SA"/>
        </w:rPr>
        <w:drawing>
          <wp:inline distT="0" distB="0" distL="114300" distR="114300">
            <wp:extent cx="5617210" cy="4466590"/>
            <wp:effectExtent l="0" t="0" r="215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17210" cy="4466590"/>
                    </a:xfrm>
                    <a:prstGeom prst="rect">
                      <a:avLst/>
                    </a:prstGeom>
                    <a:noFill/>
                    <a:ln>
                      <a:noFill/>
                    </a:ln>
                  </pic:spPr>
                </pic:pic>
              </a:graphicData>
            </a:graphic>
          </wp:inline>
        </w:drawing>
      </w:r>
    </w:p>
    <w:p w14:paraId="2EAC2C98">
      <w:pPr>
        <w:pStyle w:val="29"/>
        <w:ind w:firstLine="720" w:firstLineChars="0"/>
        <w:rPr>
          <w:color w:val="auto"/>
          <w:highlight w:val="none"/>
          <w:lang w:val="en-US"/>
        </w:rPr>
      </w:pPr>
      <w:r>
        <w:rPr>
          <w:rFonts w:hint="eastAsia" w:ascii="仿宋_GB2312" w:eastAsia="仿宋_GB2312"/>
          <w:color w:val="auto"/>
          <w:highlight w:val="none"/>
          <w:lang w:val="en-US"/>
        </w:rPr>
        <w:t>关联成功后，企业办税人员可手动录入其他信息，点击“保存”按钮完成填写。</w:t>
      </w:r>
    </w:p>
    <w:p w14:paraId="4DEED71D">
      <w:pPr>
        <w:pStyle w:val="29"/>
        <w:ind w:firstLine="0" w:firstLineChars="0"/>
        <w:rPr>
          <w:color w:val="auto"/>
          <w:highlight w:val="none"/>
        </w:rPr>
      </w:pPr>
      <w:r>
        <w:rPr>
          <w:color w:val="auto"/>
          <w:highlight w:val="none"/>
          <w:lang w:val="en-US" w:bidi="ar-SA"/>
        </w:rPr>
        <w:drawing>
          <wp:inline distT="0" distB="0" distL="114300" distR="114300">
            <wp:extent cx="5619750" cy="4177665"/>
            <wp:effectExtent l="0" t="0" r="190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5619750" cy="4177665"/>
                    </a:xfrm>
                    <a:prstGeom prst="rect">
                      <a:avLst/>
                    </a:prstGeom>
                    <a:noFill/>
                    <a:ln>
                      <a:noFill/>
                    </a:ln>
                  </pic:spPr>
                </pic:pic>
              </a:graphicData>
            </a:graphic>
          </wp:inline>
        </w:drawing>
      </w:r>
    </w:p>
    <w:p w14:paraId="39BB7253">
      <w:pPr>
        <w:numPr>
          <w:ilvl w:val="1"/>
          <w:numId w:val="1"/>
        </w:numPr>
        <w:ind w:firstLine="640"/>
        <w:outlineLvl w:val="1"/>
        <w:rPr>
          <w:rFonts w:ascii="仿宋_GB2312" w:hAnsi="黑体" w:eastAsia="仿宋_GB2312"/>
          <w:b/>
          <w:bCs/>
          <w:color w:val="auto"/>
          <w:highlight w:val="none"/>
          <w:lang w:val="en-US"/>
        </w:rPr>
      </w:pPr>
      <w:bookmarkStart w:id="17" w:name="_Toc20045"/>
      <w:r>
        <w:rPr>
          <w:rFonts w:hint="eastAsia" w:ascii="仿宋_GB2312" w:hAnsi="黑体" w:eastAsia="仿宋_GB2312"/>
          <w:b/>
          <w:bCs/>
          <w:color w:val="auto"/>
          <w:highlight w:val="none"/>
          <w:lang w:val="en-US"/>
        </w:rPr>
        <w:t>税务端批量查询发票记录及申报情况</w:t>
      </w:r>
      <w:bookmarkEnd w:id="17"/>
    </w:p>
    <w:p w14:paraId="7D62E8C7">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步骤一：登录自然人电子税务局税务端</w:t>
      </w:r>
    </w:p>
    <w:p w14:paraId="60920E35">
      <w:pPr>
        <w:pStyle w:val="29"/>
        <w:ind w:firstLine="720" w:firstLineChars="0"/>
        <w:rPr>
          <w:rFonts w:ascii="仿宋_GB2312" w:eastAsia="仿宋_GB2312"/>
          <w:color w:val="auto"/>
          <w:highlight w:val="none"/>
        </w:rPr>
      </w:pPr>
      <w:r>
        <w:rPr>
          <w:rFonts w:hint="eastAsia" w:ascii="仿宋_GB2312" w:eastAsia="仿宋_GB2312"/>
          <w:color w:val="auto"/>
          <w:highlight w:val="none"/>
          <w:lang w:val="en-US"/>
        </w:rPr>
        <w:t>税务人员登录税务端门户，通过【查询统计】-【日常申报统计】-【代开发票查询】-【个人代开发票明细查询（ITS）】功能路径，访问【个人代开发票明细查询（ITS）】功能查询</w:t>
      </w:r>
      <w:r>
        <w:rPr>
          <w:rFonts w:hint="eastAsia" w:ascii="仿宋_GB2312" w:eastAsia="仿宋_GB2312"/>
          <w:color w:val="auto"/>
          <w:highlight w:val="none"/>
        </w:rPr>
        <w:t>。</w:t>
      </w:r>
    </w:p>
    <w:p w14:paraId="6D203C9A">
      <w:pPr>
        <w:pStyle w:val="29"/>
        <w:ind w:firstLine="720" w:firstLineChars="0"/>
        <w:rPr>
          <w:rFonts w:ascii="仿宋_GB2312" w:eastAsia="仿宋_GB2312"/>
          <w:b/>
          <w:bCs/>
          <w:color w:val="auto"/>
          <w:highlight w:val="none"/>
          <w:lang w:val="en-US"/>
        </w:rPr>
      </w:pPr>
      <w:r>
        <w:rPr>
          <w:rFonts w:hint="eastAsia" w:ascii="仿宋_GB2312" w:eastAsia="仿宋_GB2312"/>
          <w:b/>
          <w:bCs/>
          <w:color w:val="auto"/>
          <w:highlight w:val="none"/>
          <w:lang w:val="en-US"/>
        </w:rPr>
        <w:t>步骤二：批量查询代开发票记录及申报情况</w:t>
      </w:r>
    </w:p>
    <w:p w14:paraId="5BF554A4">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查询条件“受票方企业主管税务机关”和“代开发票受理税务机关”至少选择一种，选择“开票日期”时间范围，同时可通过“征收品目”、“发票状态”、“申报情况”以及企业或自然人信息等查询条件筛选结果数据。</w:t>
      </w:r>
    </w:p>
    <w:p w14:paraId="286CCA11">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选择查询条件后，点击“查询”按钮，可查询选择机关权限发票内、满足筛选规则的全部数据结果。</w:t>
      </w:r>
    </w:p>
    <w:p w14:paraId="099AE47C">
      <w:pPr>
        <w:pStyle w:val="29"/>
        <w:ind w:firstLine="0" w:firstLineChars="0"/>
        <w:jc w:val="center"/>
        <w:rPr>
          <w:rFonts w:ascii="仿宋_GB2312" w:eastAsia="仿宋_GB2312"/>
          <w:color w:val="auto"/>
          <w:highlight w:val="none"/>
          <w:lang w:val="en-US"/>
        </w:rPr>
      </w:pPr>
      <w:r>
        <w:rPr>
          <w:color w:val="auto"/>
          <w:highlight w:val="none"/>
          <w:lang w:val="en-US" w:bidi="ar-SA"/>
        </w:rPr>
        <w:drawing>
          <wp:inline distT="0" distB="0" distL="0" distR="0">
            <wp:extent cx="5619750" cy="2835275"/>
            <wp:effectExtent l="0" t="0" r="0" b="3175"/>
            <wp:docPr id="243443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3528" name="图片 1"/>
                    <pic:cNvPicPr>
                      <a:picLocks noChangeAspect="1"/>
                    </pic:cNvPicPr>
                  </pic:nvPicPr>
                  <pic:blipFill>
                    <a:blip r:embed="rId41"/>
                    <a:stretch>
                      <a:fillRect/>
                    </a:stretch>
                  </pic:blipFill>
                  <pic:spPr>
                    <a:xfrm>
                      <a:off x="0" y="0"/>
                      <a:ext cx="5619750" cy="2835275"/>
                    </a:xfrm>
                    <a:prstGeom prst="rect">
                      <a:avLst/>
                    </a:prstGeom>
                  </pic:spPr>
                </pic:pic>
              </a:graphicData>
            </a:graphic>
          </wp:inline>
        </w:drawing>
      </w:r>
    </w:p>
    <w:p w14:paraId="18615216">
      <w:pPr>
        <w:pStyle w:val="29"/>
        <w:ind w:firstLine="720" w:firstLineChars="0"/>
        <w:rPr>
          <w:rFonts w:ascii="仿宋_GB2312" w:eastAsia="仿宋_GB2312"/>
          <w:color w:val="auto"/>
          <w:highlight w:val="none"/>
          <w:lang w:val="en-US"/>
        </w:rPr>
      </w:pPr>
      <w:r>
        <w:rPr>
          <w:rFonts w:hint="eastAsia" w:ascii="仿宋_GB2312" w:eastAsia="仿宋_GB2312"/>
          <w:b/>
          <w:bCs/>
          <w:color w:val="auto"/>
          <w:highlight w:val="none"/>
          <w:lang w:val="en-US"/>
        </w:rPr>
        <w:t>步骤三：查看发票的申报情况</w:t>
      </w:r>
    </w:p>
    <w:p w14:paraId="5F10FC4A">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通过查询结果的“申报情况”区分发票是否完成申报：</w:t>
      </w:r>
    </w:p>
    <w:p w14:paraId="4882803E">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1）已申报：该笔发票记录已经足额申报。</w:t>
      </w:r>
    </w:p>
    <w:p w14:paraId="6759C557">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2）部分申报：该笔发票记录被勾选申报，但是申报的发票收入小于开票金额。</w:t>
      </w:r>
    </w:p>
    <w:p w14:paraId="4CCAEE30">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3）未申报：该笔发票记录尚未被勾选申报。</w:t>
      </w:r>
    </w:p>
    <w:p w14:paraId="3ADEFD69">
      <w:pPr>
        <w:pStyle w:val="29"/>
        <w:ind w:firstLine="720" w:firstLineChars="0"/>
        <w:rPr>
          <w:rFonts w:ascii="仿宋_GB2312" w:eastAsia="仿宋_GB2312"/>
          <w:color w:val="auto"/>
          <w:highlight w:val="none"/>
          <w:lang w:val="en-US"/>
        </w:rPr>
      </w:pPr>
      <w:r>
        <w:rPr>
          <w:rFonts w:hint="eastAsia" w:ascii="仿宋_GB2312" w:eastAsia="仿宋_GB2312"/>
          <w:color w:val="auto"/>
          <w:highlight w:val="none"/>
          <w:lang w:val="en-US"/>
        </w:rPr>
        <w:t>查询结果每日更新一次，数据截止到前一天，当日申报信息需次日查看。</w:t>
      </w:r>
    </w:p>
    <w:p w14:paraId="3C8ADD40">
      <w:pPr>
        <w:pStyle w:val="29"/>
        <w:ind w:firstLine="720" w:firstLineChars="0"/>
        <w:rPr>
          <w:rFonts w:ascii="仿宋_GB2312" w:eastAsia="仿宋_GB2312"/>
          <w:color w:val="auto"/>
          <w:highlight w:val="none"/>
          <w:lang w:val="en-US"/>
        </w:rPr>
      </w:pPr>
    </w:p>
    <w:sectPr>
      <w:footerReference r:id="rId7" w:type="default"/>
      <w:pgSz w:w="11910" w:h="16840"/>
      <w:pgMar w:top="1500" w:right="1380" w:bottom="1380" w:left="1680" w:header="0" w:footer="11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Songti SC">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6958217"/>
    </w:sdtPr>
    <w:sdtContent>
      <w:p w14:paraId="7DB346FA">
        <w:pPr>
          <w:pStyle w:val="9"/>
          <w:jc w:val="center"/>
        </w:pPr>
        <w:r>
          <w:fldChar w:fldCharType="begin"/>
        </w:r>
        <w:r>
          <w:instrText xml:space="preserve">PAGE   \* MERGEFORMAT</w:instrText>
        </w:r>
        <w:r>
          <w:fldChar w:fldCharType="separate"/>
        </w:r>
        <w:r>
          <w:t>21</w:t>
        </w:r>
        <w:r>
          <w:fldChar w:fldCharType="end"/>
        </w:r>
      </w:p>
    </w:sdtContent>
  </w:sdt>
  <w:p w14:paraId="2AC7A0E4">
    <w:pPr>
      <w:pStyle w:val="5"/>
      <w:spacing w:line="14" w:lineRule="auto"/>
      <w:ind w:firstLine="64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FC183">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0B71D">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DFFF4"/>
    <w:multiLevelType w:val="singleLevel"/>
    <w:tmpl w:val="EFFDFFF4"/>
    <w:lvl w:ilvl="0" w:tentative="0">
      <w:start w:val="1"/>
      <w:numFmt w:val="bullet"/>
      <w:lvlText w:val=""/>
      <w:lvlJc w:val="left"/>
      <w:pPr>
        <w:tabs>
          <w:tab w:val="left" w:pos="420"/>
        </w:tabs>
        <w:ind w:left="840" w:hanging="420"/>
      </w:pPr>
      <w:rPr>
        <w:rFonts w:hint="default" w:ascii="Wingdings" w:hAnsi="Wingdings"/>
      </w:rPr>
    </w:lvl>
  </w:abstractNum>
  <w:abstractNum w:abstractNumId="1">
    <w:nsid w:val="FDF63DA6"/>
    <w:multiLevelType w:val="multilevel"/>
    <w:tmpl w:val="FDF63DA6"/>
    <w:lvl w:ilvl="0" w:tentative="0">
      <w:start w:val="3"/>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10"/>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3B"/>
    <w:rsid w:val="00064FEA"/>
    <w:rsid w:val="00070FD5"/>
    <w:rsid w:val="000B3F4E"/>
    <w:rsid w:val="000E0E26"/>
    <w:rsid w:val="00107772"/>
    <w:rsid w:val="00150EB0"/>
    <w:rsid w:val="00197CC5"/>
    <w:rsid w:val="001D041A"/>
    <w:rsid w:val="001D320D"/>
    <w:rsid w:val="001F23E4"/>
    <w:rsid w:val="001F7001"/>
    <w:rsid w:val="0023401E"/>
    <w:rsid w:val="0025212B"/>
    <w:rsid w:val="002618A4"/>
    <w:rsid w:val="002A3173"/>
    <w:rsid w:val="002C5DBD"/>
    <w:rsid w:val="002C659E"/>
    <w:rsid w:val="002E2EE5"/>
    <w:rsid w:val="002E6AD7"/>
    <w:rsid w:val="0033226D"/>
    <w:rsid w:val="00333B0E"/>
    <w:rsid w:val="00361296"/>
    <w:rsid w:val="0037699B"/>
    <w:rsid w:val="00385A39"/>
    <w:rsid w:val="003A2F7E"/>
    <w:rsid w:val="003A4297"/>
    <w:rsid w:val="003C0C95"/>
    <w:rsid w:val="0045008C"/>
    <w:rsid w:val="00450973"/>
    <w:rsid w:val="0048048C"/>
    <w:rsid w:val="004947F7"/>
    <w:rsid w:val="004A6CA7"/>
    <w:rsid w:val="004B64C3"/>
    <w:rsid w:val="004B68FB"/>
    <w:rsid w:val="004C620B"/>
    <w:rsid w:val="004F5C26"/>
    <w:rsid w:val="005044A3"/>
    <w:rsid w:val="0050462B"/>
    <w:rsid w:val="00531D99"/>
    <w:rsid w:val="00536A34"/>
    <w:rsid w:val="00563F2E"/>
    <w:rsid w:val="005842BC"/>
    <w:rsid w:val="00587D82"/>
    <w:rsid w:val="005E030A"/>
    <w:rsid w:val="005F2191"/>
    <w:rsid w:val="00603938"/>
    <w:rsid w:val="00612667"/>
    <w:rsid w:val="00614A4B"/>
    <w:rsid w:val="0062781E"/>
    <w:rsid w:val="006355F8"/>
    <w:rsid w:val="00640D8C"/>
    <w:rsid w:val="00650C14"/>
    <w:rsid w:val="00685020"/>
    <w:rsid w:val="00693E3B"/>
    <w:rsid w:val="006A3AA3"/>
    <w:rsid w:val="0070400A"/>
    <w:rsid w:val="0072405B"/>
    <w:rsid w:val="00725F09"/>
    <w:rsid w:val="00755C0F"/>
    <w:rsid w:val="0076610A"/>
    <w:rsid w:val="00805DED"/>
    <w:rsid w:val="00827754"/>
    <w:rsid w:val="008477CE"/>
    <w:rsid w:val="00853EB9"/>
    <w:rsid w:val="00854367"/>
    <w:rsid w:val="008A33B5"/>
    <w:rsid w:val="008E0BB7"/>
    <w:rsid w:val="00933DCB"/>
    <w:rsid w:val="009802BA"/>
    <w:rsid w:val="0098583C"/>
    <w:rsid w:val="00992861"/>
    <w:rsid w:val="009A3B1B"/>
    <w:rsid w:val="009C5DA7"/>
    <w:rsid w:val="00A164A1"/>
    <w:rsid w:val="00A62247"/>
    <w:rsid w:val="00A648BA"/>
    <w:rsid w:val="00A90FCF"/>
    <w:rsid w:val="00AB4BF7"/>
    <w:rsid w:val="00B65D27"/>
    <w:rsid w:val="00B67143"/>
    <w:rsid w:val="00B825AC"/>
    <w:rsid w:val="00B85FAD"/>
    <w:rsid w:val="00B96C80"/>
    <w:rsid w:val="00BA4B08"/>
    <w:rsid w:val="00C140BF"/>
    <w:rsid w:val="00C2560D"/>
    <w:rsid w:val="00C318E1"/>
    <w:rsid w:val="00C503A3"/>
    <w:rsid w:val="00C623A8"/>
    <w:rsid w:val="00C84B73"/>
    <w:rsid w:val="00CB3B29"/>
    <w:rsid w:val="00CD3D3B"/>
    <w:rsid w:val="00D1683E"/>
    <w:rsid w:val="00D20145"/>
    <w:rsid w:val="00D233CA"/>
    <w:rsid w:val="00D24EDD"/>
    <w:rsid w:val="00D33E92"/>
    <w:rsid w:val="00D35CD5"/>
    <w:rsid w:val="00D54B65"/>
    <w:rsid w:val="00D60F01"/>
    <w:rsid w:val="00D63190"/>
    <w:rsid w:val="00D8192A"/>
    <w:rsid w:val="00DA0DCF"/>
    <w:rsid w:val="00DA46D7"/>
    <w:rsid w:val="00DD1E24"/>
    <w:rsid w:val="00DF7D83"/>
    <w:rsid w:val="00E00ECF"/>
    <w:rsid w:val="00E01EAD"/>
    <w:rsid w:val="00E02A92"/>
    <w:rsid w:val="00E0576E"/>
    <w:rsid w:val="00E97AC8"/>
    <w:rsid w:val="00EB3910"/>
    <w:rsid w:val="00EC0FA0"/>
    <w:rsid w:val="00EC10F6"/>
    <w:rsid w:val="00EC6004"/>
    <w:rsid w:val="00EF1460"/>
    <w:rsid w:val="00F10A24"/>
    <w:rsid w:val="00F1669B"/>
    <w:rsid w:val="00F3096D"/>
    <w:rsid w:val="00F310C1"/>
    <w:rsid w:val="00F377B9"/>
    <w:rsid w:val="00F52690"/>
    <w:rsid w:val="00F6592A"/>
    <w:rsid w:val="00F72B30"/>
    <w:rsid w:val="028D3F21"/>
    <w:rsid w:val="03BEAA5E"/>
    <w:rsid w:val="06255BC2"/>
    <w:rsid w:val="0C6C3D10"/>
    <w:rsid w:val="0D9B3C25"/>
    <w:rsid w:val="0DD759F4"/>
    <w:rsid w:val="0DFCD6B5"/>
    <w:rsid w:val="0FBC789B"/>
    <w:rsid w:val="0FBD5D82"/>
    <w:rsid w:val="100A1D3B"/>
    <w:rsid w:val="107E0E1C"/>
    <w:rsid w:val="11AE5AAA"/>
    <w:rsid w:val="13704D0B"/>
    <w:rsid w:val="15DF4615"/>
    <w:rsid w:val="168C15E5"/>
    <w:rsid w:val="19EF27A2"/>
    <w:rsid w:val="1BA00681"/>
    <w:rsid w:val="1D3BB65F"/>
    <w:rsid w:val="1F703FF9"/>
    <w:rsid w:val="1F7E6239"/>
    <w:rsid w:val="1F9994E8"/>
    <w:rsid w:val="1FB30E90"/>
    <w:rsid w:val="1FDF964F"/>
    <w:rsid w:val="1FF7A540"/>
    <w:rsid w:val="1FFE9A4C"/>
    <w:rsid w:val="205C179D"/>
    <w:rsid w:val="21CA0C14"/>
    <w:rsid w:val="23E73685"/>
    <w:rsid w:val="24B06550"/>
    <w:rsid w:val="25F5F190"/>
    <w:rsid w:val="26BB587B"/>
    <w:rsid w:val="29D2740B"/>
    <w:rsid w:val="2A35590C"/>
    <w:rsid w:val="2B5E3EB4"/>
    <w:rsid w:val="2BD63F13"/>
    <w:rsid w:val="2C9E5BC2"/>
    <w:rsid w:val="2DEBCD57"/>
    <w:rsid w:val="2E7969A9"/>
    <w:rsid w:val="2EFF2884"/>
    <w:rsid w:val="2FAFBD16"/>
    <w:rsid w:val="2FB62DCA"/>
    <w:rsid w:val="342B1033"/>
    <w:rsid w:val="34A452DF"/>
    <w:rsid w:val="35BD02ED"/>
    <w:rsid w:val="35F6731C"/>
    <w:rsid w:val="36FF14D2"/>
    <w:rsid w:val="3793F145"/>
    <w:rsid w:val="37B6D746"/>
    <w:rsid w:val="37ED4A0B"/>
    <w:rsid w:val="37F7C877"/>
    <w:rsid w:val="37FF38C5"/>
    <w:rsid w:val="38462595"/>
    <w:rsid w:val="395B8C55"/>
    <w:rsid w:val="39CF2452"/>
    <w:rsid w:val="39FC0278"/>
    <w:rsid w:val="3AFBE226"/>
    <w:rsid w:val="3B77D2FE"/>
    <w:rsid w:val="3BFF4514"/>
    <w:rsid w:val="3BFFD788"/>
    <w:rsid w:val="3C2B0951"/>
    <w:rsid w:val="3DBF8718"/>
    <w:rsid w:val="3DF5690E"/>
    <w:rsid w:val="3ECEA9CE"/>
    <w:rsid w:val="3F8DD269"/>
    <w:rsid w:val="3F8EB057"/>
    <w:rsid w:val="3F9F857E"/>
    <w:rsid w:val="3FB51184"/>
    <w:rsid w:val="3FB52695"/>
    <w:rsid w:val="3FB60D67"/>
    <w:rsid w:val="3FB7DE40"/>
    <w:rsid w:val="3FBF4321"/>
    <w:rsid w:val="3FD6DE7E"/>
    <w:rsid w:val="3FEF55BE"/>
    <w:rsid w:val="3FEFDE05"/>
    <w:rsid w:val="3FFEFEA9"/>
    <w:rsid w:val="40A00ED3"/>
    <w:rsid w:val="421A2795"/>
    <w:rsid w:val="425477F0"/>
    <w:rsid w:val="42DF59B1"/>
    <w:rsid w:val="43F73105"/>
    <w:rsid w:val="45026A0B"/>
    <w:rsid w:val="46771F08"/>
    <w:rsid w:val="46EFBF2D"/>
    <w:rsid w:val="47506A55"/>
    <w:rsid w:val="47F90FBD"/>
    <w:rsid w:val="47FFEB59"/>
    <w:rsid w:val="485433C2"/>
    <w:rsid w:val="496507B1"/>
    <w:rsid w:val="4AD68F7F"/>
    <w:rsid w:val="4AFBFC21"/>
    <w:rsid w:val="4B5FB1F1"/>
    <w:rsid w:val="4BFEE1FB"/>
    <w:rsid w:val="4C3C0E00"/>
    <w:rsid w:val="4DA4607B"/>
    <w:rsid w:val="4DC66BE6"/>
    <w:rsid w:val="4DD740FF"/>
    <w:rsid w:val="4EF918A3"/>
    <w:rsid w:val="4F5F5880"/>
    <w:rsid w:val="4F5FAE8B"/>
    <w:rsid w:val="4F65BBA5"/>
    <w:rsid w:val="4F7EA5C1"/>
    <w:rsid w:val="50343F83"/>
    <w:rsid w:val="516D2C77"/>
    <w:rsid w:val="51773061"/>
    <w:rsid w:val="53AA71E3"/>
    <w:rsid w:val="53C37CEE"/>
    <w:rsid w:val="53EDFDF1"/>
    <w:rsid w:val="53FF1853"/>
    <w:rsid w:val="53FF3D4C"/>
    <w:rsid w:val="542A051F"/>
    <w:rsid w:val="56916E33"/>
    <w:rsid w:val="56FF2BC0"/>
    <w:rsid w:val="57BFE033"/>
    <w:rsid w:val="57E57D64"/>
    <w:rsid w:val="57EB04CC"/>
    <w:rsid w:val="59DFEAC5"/>
    <w:rsid w:val="59F6667F"/>
    <w:rsid w:val="5A1F795C"/>
    <w:rsid w:val="5AED7E7A"/>
    <w:rsid w:val="5B7D02AE"/>
    <w:rsid w:val="5B8FCA1D"/>
    <w:rsid w:val="5BEFC6C3"/>
    <w:rsid w:val="5BFFCB80"/>
    <w:rsid w:val="5C5E13A6"/>
    <w:rsid w:val="5CFD5F72"/>
    <w:rsid w:val="5D66B93C"/>
    <w:rsid w:val="5DEE4FD1"/>
    <w:rsid w:val="5DFD27EC"/>
    <w:rsid w:val="5E4139A0"/>
    <w:rsid w:val="5E7DCC99"/>
    <w:rsid w:val="5EBCDA22"/>
    <w:rsid w:val="5EC3D37F"/>
    <w:rsid w:val="5ED72255"/>
    <w:rsid w:val="5EDF2958"/>
    <w:rsid w:val="5EF6E313"/>
    <w:rsid w:val="5F6FE16D"/>
    <w:rsid w:val="5F9CC3B6"/>
    <w:rsid w:val="5FADDFE9"/>
    <w:rsid w:val="5FBF46F0"/>
    <w:rsid w:val="5FDC5E4A"/>
    <w:rsid w:val="5FDD5845"/>
    <w:rsid w:val="5FED7634"/>
    <w:rsid w:val="5FEEA0C1"/>
    <w:rsid w:val="5FFC2DAB"/>
    <w:rsid w:val="60EF7E1D"/>
    <w:rsid w:val="627D24E1"/>
    <w:rsid w:val="6298297D"/>
    <w:rsid w:val="62FA9F6F"/>
    <w:rsid w:val="635F05B0"/>
    <w:rsid w:val="63F9E787"/>
    <w:rsid w:val="652960E0"/>
    <w:rsid w:val="660E5042"/>
    <w:rsid w:val="66737185"/>
    <w:rsid w:val="66DF74C4"/>
    <w:rsid w:val="675F3F5B"/>
    <w:rsid w:val="67DE7B79"/>
    <w:rsid w:val="6875787F"/>
    <w:rsid w:val="6941E933"/>
    <w:rsid w:val="697F3124"/>
    <w:rsid w:val="6BE77BE2"/>
    <w:rsid w:val="6C20145D"/>
    <w:rsid w:val="6C3F005A"/>
    <w:rsid w:val="6CAE0F72"/>
    <w:rsid w:val="6D70C886"/>
    <w:rsid w:val="6DC9E5D6"/>
    <w:rsid w:val="6DF7570A"/>
    <w:rsid w:val="6DFBF53C"/>
    <w:rsid w:val="6E560129"/>
    <w:rsid w:val="6E9476C4"/>
    <w:rsid w:val="6E979579"/>
    <w:rsid w:val="6EDEA065"/>
    <w:rsid w:val="6EFCD687"/>
    <w:rsid w:val="6F7B00AD"/>
    <w:rsid w:val="6F7F0357"/>
    <w:rsid w:val="6FAB4F8B"/>
    <w:rsid w:val="6FBB28D7"/>
    <w:rsid w:val="6FBF2778"/>
    <w:rsid w:val="6FDF2439"/>
    <w:rsid w:val="6FE68141"/>
    <w:rsid w:val="6FF9346B"/>
    <w:rsid w:val="6FFE05E9"/>
    <w:rsid w:val="6FFEB7D1"/>
    <w:rsid w:val="6FFFE646"/>
    <w:rsid w:val="71BEC90F"/>
    <w:rsid w:val="71DE9132"/>
    <w:rsid w:val="72B794F1"/>
    <w:rsid w:val="72FFDDF9"/>
    <w:rsid w:val="735B8CA8"/>
    <w:rsid w:val="73A7A58B"/>
    <w:rsid w:val="73E61778"/>
    <w:rsid w:val="75AB2DE6"/>
    <w:rsid w:val="75CBCEBE"/>
    <w:rsid w:val="75FA45D2"/>
    <w:rsid w:val="76A74BB7"/>
    <w:rsid w:val="76CAAC66"/>
    <w:rsid w:val="76FD84AF"/>
    <w:rsid w:val="773F6886"/>
    <w:rsid w:val="773FFCE5"/>
    <w:rsid w:val="776D0985"/>
    <w:rsid w:val="77778084"/>
    <w:rsid w:val="77CF2395"/>
    <w:rsid w:val="77D7F8EF"/>
    <w:rsid w:val="77F9C245"/>
    <w:rsid w:val="77FD540A"/>
    <w:rsid w:val="77FFE9CF"/>
    <w:rsid w:val="78CB2541"/>
    <w:rsid w:val="79154B5F"/>
    <w:rsid w:val="79E5022F"/>
    <w:rsid w:val="79ED74FC"/>
    <w:rsid w:val="79FF6B15"/>
    <w:rsid w:val="7A051C9D"/>
    <w:rsid w:val="7A3D235F"/>
    <w:rsid w:val="7A94DAFE"/>
    <w:rsid w:val="7AEECF1F"/>
    <w:rsid w:val="7B3D2F12"/>
    <w:rsid w:val="7B3DA636"/>
    <w:rsid w:val="7B768168"/>
    <w:rsid w:val="7B9C8AEE"/>
    <w:rsid w:val="7BBA1E5B"/>
    <w:rsid w:val="7BBB4F02"/>
    <w:rsid w:val="7BDACE61"/>
    <w:rsid w:val="7BDB9E11"/>
    <w:rsid w:val="7BF904D5"/>
    <w:rsid w:val="7C5B8209"/>
    <w:rsid w:val="7CA61BC6"/>
    <w:rsid w:val="7CBB382A"/>
    <w:rsid w:val="7CBF2EB4"/>
    <w:rsid w:val="7CBF5003"/>
    <w:rsid w:val="7D6FC897"/>
    <w:rsid w:val="7D76E628"/>
    <w:rsid w:val="7D79ECF9"/>
    <w:rsid w:val="7D7F4922"/>
    <w:rsid w:val="7D7F70E7"/>
    <w:rsid w:val="7D7FF2F7"/>
    <w:rsid w:val="7D8F0F72"/>
    <w:rsid w:val="7D97030B"/>
    <w:rsid w:val="7DAFA79A"/>
    <w:rsid w:val="7DBE6CE5"/>
    <w:rsid w:val="7DFB7F5A"/>
    <w:rsid w:val="7DFD0C6B"/>
    <w:rsid w:val="7DFF87FD"/>
    <w:rsid w:val="7EAAC7E2"/>
    <w:rsid w:val="7EEE6B27"/>
    <w:rsid w:val="7EF3F0AE"/>
    <w:rsid w:val="7EF5B955"/>
    <w:rsid w:val="7EF7E347"/>
    <w:rsid w:val="7EFF422B"/>
    <w:rsid w:val="7EFF9862"/>
    <w:rsid w:val="7EFFA0FD"/>
    <w:rsid w:val="7F3779E3"/>
    <w:rsid w:val="7F67BF0A"/>
    <w:rsid w:val="7F6E4A2A"/>
    <w:rsid w:val="7F6FFA24"/>
    <w:rsid w:val="7F7B80CD"/>
    <w:rsid w:val="7F7C0155"/>
    <w:rsid w:val="7F7FCAF4"/>
    <w:rsid w:val="7F8F4EF7"/>
    <w:rsid w:val="7F92C69C"/>
    <w:rsid w:val="7FA96F6F"/>
    <w:rsid w:val="7FBBC1AC"/>
    <w:rsid w:val="7FD03969"/>
    <w:rsid w:val="7FE5586D"/>
    <w:rsid w:val="7FF3FC5C"/>
    <w:rsid w:val="7FFB2372"/>
    <w:rsid w:val="7FFB26C0"/>
    <w:rsid w:val="7FFB7487"/>
    <w:rsid w:val="7FFC1C60"/>
    <w:rsid w:val="7FFC8642"/>
    <w:rsid w:val="7FFD51C3"/>
    <w:rsid w:val="7FFEBB7E"/>
    <w:rsid w:val="7FFECDB1"/>
    <w:rsid w:val="7FFEE596"/>
    <w:rsid w:val="7FFF6DB8"/>
    <w:rsid w:val="7FFFC186"/>
    <w:rsid w:val="81FFE1E5"/>
    <w:rsid w:val="83DF334B"/>
    <w:rsid w:val="8924C330"/>
    <w:rsid w:val="8F7D9C78"/>
    <w:rsid w:val="8FF77BC8"/>
    <w:rsid w:val="930FE66B"/>
    <w:rsid w:val="97D7A898"/>
    <w:rsid w:val="97FC7180"/>
    <w:rsid w:val="97FFFAB9"/>
    <w:rsid w:val="99DF81FF"/>
    <w:rsid w:val="99EF6FFE"/>
    <w:rsid w:val="9AAF459A"/>
    <w:rsid w:val="9CAE64E9"/>
    <w:rsid w:val="9FC75474"/>
    <w:rsid w:val="9FF77A6D"/>
    <w:rsid w:val="A33E6495"/>
    <w:rsid w:val="A3FF9848"/>
    <w:rsid w:val="A67D9220"/>
    <w:rsid w:val="A7F7E45D"/>
    <w:rsid w:val="A7FD5C83"/>
    <w:rsid w:val="AC3F202E"/>
    <w:rsid w:val="ADFE5CC9"/>
    <w:rsid w:val="AE222F00"/>
    <w:rsid w:val="AEDDCFF1"/>
    <w:rsid w:val="AF3DE1D6"/>
    <w:rsid w:val="AF6C1222"/>
    <w:rsid w:val="AF6EA439"/>
    <w:rsid w:val="AF8C2C03"/>
    <w:rsid w:val="AFF5154A"/>
    <w:rsid w:val="B1FF7F9B"/>
    <w:rsid w:val="B2FEFDD4"/>
    <w:rsid w:val="B3571C8E"/>
    <w:rsid w:val="B3E763E2"/>
    <w:rsid w:val="B4E096C2"/>
    <w:rsid w:val="B5D6973B"/>
    <w:rsid w:val="B6F57387"/>
    <w:rsid w:val="B77F7886"/>
    <w:rsid w:val="B7EFA5BF"/>
    <w:rsid w:val="B943536F"/>
    <w:rsid w:val="B9B3B219"/>
    <w:rsid w:val="BBAB7C70"/>
    <w:rsid w:val="BD2E9CCE"/>
    <w:rsid w:val="BD3F3140"/>
    <w:rsid w:val="BDB79136"/>
    <w:rsid w:val="BDE69A99"/>
    <w:rsid w:val="BEF5EC54"/>
    <w:rsid w:val="BEFB61D8"/>
    <w:rsid w:val="BEFCEB09"/>
    <w:rsid w:val="BEFDB219"/>
    <w:rsid w:val="BEFF4B0E"/>
    <w:rsid w:val="BF1FB2E4"/>
    <w:rsid w:val="BF77A334"/>
    <w:rsid w:val="BF7BF255"/>
    <w:rsid w:val="BF7F5214"/>
    <w:rsid w:val="BF9E4409"/>
    <w:rsid w:val="BFFD9F69"/>
    <w:rsid w:val="BFFF5F60"/>
    <w:rsid w:val="C3C781D1"/>
    <w:rsid w:val="C5F7488E"/>
    <w:rsid w:val="C6758139"/>
    <w:rsid w:val="CAB6AE89"/>
    <w:rsid w:val="CBFF01E6"/>
    <w:rsid w:val="CEA5B17E"/>
    <w:rsid w:val="CFBFDDCD"/>
    <w:rsid w:val="CFEF3FEC"/>
    <w:rsid w:val="CFF79520"/>
    <w:rsid w:val="D2FE8F06"/>
    <w:rsid w:val="D376D101"/>
    <w:rsid w:val="D3FFC6DC"/>
    <w:rsid w:val="D59F298F"/>
    <w:rsid w:val="D5D90CF8"/>
    <w:rsid w:val="D6BB0426"/>
    <w:rsid w:val="D73FF502"/>
    <w:rsid w:val="D79D4CC0"/>
    <w:rsid w:val="D7BF1D02"/>
    <w:rsid w:val="D7DEBF4B"/>
    <w:rsid w:val="D7FBFFEA"/>
    <w:rsid w:val="D7FEA5C3"/>
    <w:rsid w:val="D97A82BB"/>
    <w:rsid w:val="D9EF7831"/>
    <w:rsid w:val="DAFFEB81"/>
    <w:rsid w:val="DBD6C302"/>
    <w:rsid w:val="DBFF0244"/>
    <w:rsid w:val="DC3FCEAD"/>
    <w:rsid w:val="DC6F7D20"/>
    <w:rsid w:val="DD79536F"/>
    <w:rsid w:val="DDBF023B"/>
    <w:rsid w:val="DDEEA555"/>
    <w:rsid w:val="DDEF531A"/>
    <w:rsid w:val="DEE7CA65"/>
    <w:rsid w:val="DEEC0A88"/>
    <w:rsid w:val="DEF8224F"/>
    <w:rsid w:val="DEFFCAD1"/>
    <w:rsid w:val="DF9B1217"/>
    <w:rsid w:val="DFBFC9DD"/>
    <w:rsid w:val="DFDFEA1F"/>
    <w:rsid w:val="DFF57211"/>
    <w:rsid w:val="DFF7E17F"/>
    <w:rsid w:val="DFFF5569"/>
    <w:rsid w:val="E67D2087"/>
    <w:rsid w:val="E6B852CB"/>
    <w:rsid w:val="E70F3B0F"/>
    <w:rsid w:val="E7771543"/>
    <w:rsid w:val="E7B87D4A"/>
    <w:rsid w:val="E7BB9EE7"/>
    <w:rsid w:val="E7F26D48"/>
    <w:rsid w:val="E7FF1842"/>
    <w:rsid w:val="E8EB429E"/>
    <w:rsid w:val="EAD3FDE0"/>
    <w:rsid w:val="EB956AA2"/>
    <w:rsid w:val="ED7EF38A"/>
    <w:rsid w:val="ED9F146B"/>
    <w:rsid w:val="EDCE19A6"/>
    <w:rsid w:val="EE4DC35B"/>
    <w:rsid w:val="EE779F52"/>
    <w:rsid w:val="EECE7C94"/>
    <w:rsid w:val="EF54DA77"/>
    <w:rsid w:val="EF7D72CC"/>
    <w:rsid w:val="EF9FE2B5"/>
    <w:rsid w:val="EFEFDEE5"/>
    <w:rsid w:val="EFF642C9"/>
    <w:rsid w:val="EFF73E92"/>
    <w:rsid w:val="F1E5FC7B"/>
    <w:rsid w:val="F1FE09E9"/>
    <w:rsid w:val="F2F3EDBC"/>
    <w:rsid w:val="F3BEA9A6"/>
    <w:rsid w:val="F3C86709"/>
    <w:rsid w:val="F3D7C5FE"/>
    <w:rsid w:val="F3FF3E82"/>
    <w:rsid w:val="F4FFF0BF"/>
    <w:rsid w:val="F5BF8F3B"/>
    <w:rsid w:val="F6BDAD75"/>
    <w:rsid w:val="F6C42BF4"/>
    <w:rsid w:val="F6E74522"/>
    <w:rsid w:val="F79F9851"/>
    <w:rsid w:val="F7A3396B"/>
    <w:rsid w:val="F7C58691"/>
    <w:rsid w:val="F7F7B28E"/>
    <w:rsid w:val="F7FB31AB"/>
    <w:rsid w:val="F7FD786A"/>
    <w:rsid w:val="F879BAB1"/>
    <w:rsid w:val="F997E068"/>
    <w:rsid w:val="F99D4F32"/>
    <w:rsid w:val="FA973213"/>
    <w:rsid w:val="FAB7578C"/>
    <w:rsid w:val="FAEF6C3F"/>
    <w:rsid w:val="FAF520A6"/>
    <w:rsid w:val="FAFE6C46"/>
    <w:rsid w:val="FB6F5BA9"/>
    <w:rsid w:val="FBBDBC08"/>
    <w:rsid w:val="FBBF7C07"/>
    <w:rsid w:val="FBBF7D2A"/>
    <w:rsid w:val="FBBFBD77"/>
    <w:rsid w:val="FBE78A87"/>
    <w:rsid w:val="FBFF8EB8"/>
    <w:rsid w:val="FC354563"/>
    <w:rsid w:val="FCB99693"/>
    <w:rsid w:val="FCEF95A6"/>
    <w:rsid w:val="FCF1F65F"/>
    <w:rsid w:val="FCFC30BC"/>
    <w:rsid w:val="FCFCD4FA"/>
    <w:rsid w:val="FD5F1B05"/>
    <w:rsid w:val="FD67F5AF"/>
    <w:rsid w:val="FD6FECD1"/>
    <w:rsid w:val="FD7B7CAF"/>
    <w:rsid w:val="FD7D2C1F"/>
    <w:rsid w:val="FDBD402B"/>
    <w:rsid w:val="FDBEFB66"/>
    <w:rsid w:val="FDFBFB3D"/>
    <w:rsid w:val="FDFD1245"/>
    <w:rsid w:val="FDFF5D7C"/>
    <w:rsid w:val="FE27DB55"/>
    <w:rsid w:val="FECE90D9"/>
    <w:rsid w:val="FECF451B"/>
    <w:rsid w:val="FEF5F817"/>
    <w:rsid w:val="FEFE31C6"/>
    <w:rsid w:val="FEFF06DE"/>
    <w:rsid w:val="FEFF16F7"/>
    <w:rsid w:val="FF5B2A65"/>
    <w:rsid w:val="FF5E1B4A"/>
    <w:rsid w:val="FF5F6C6B"/>
    <w:rsid w:val="FF779EFB"/>
    <w:rsid w:val="FF7F307A"/>
    <w:rsid w:val="FF7F6F56"/>
    <w:rsid w:val="FF7F8FFA"/>
    <w:rsid w:val="FFB31AD1"/>
    <w:rsid w:val="FFB73FAB"/>
    <w:rsid w:val="FFBA1CDD"/>
    <w:rsid w:val="FFBFDD32"/>
    <w:rsid w:val="FFEB13A9"/>
    <w:rsid w:val="FFEF31D8"/>
    <w:rsid w:val="FFEF3A7F"/>
    <w:rsid w:val="FFF31CE8"/>
    <w:rsid w:val="FFF6F030"/>
    <w:rsid w:val="FFF76E8D"/>
    <w:rsid w:val="FFF7CFBD"/>
    <w:rsid w:val="FFF9C561"/>
    <w:rsid w:val="FFFA5306"/>
    <w:rsid w:val="FFFBDC27"/>
    <w:rsid w:val="FFFEAAB7"/>
    <w:rsid w:val="FFFF3C74"/>
    <w:rsid w:val="FFFF429F"/>
    <w:rsid w:val="FFFF42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pacing w:line="360" w:lineRule="auto"/>
    </w:pPr>
    <w:rPr>
      <w:rFonts w:ascii="宋体" w:hAnsi="宋体" w:eastAsia="宋体" w:cs="宋体"/>
      <w:sz w:val="32"/>
      <w:szCs w:val="22"/>
      <w:lang w:val="zh-CN" w:eastAsia="zh-CN" w:bidi="zh-CN"/>
    </w:rPr>
  </w:style>
  <w:style w:type="paragraph" w:styleId="3">
    <w:name w:val="heading 1"/>
    <w:basedOn w:val="1"/>
    <w:next w:val="1"/>
    <w:qFormat/>
    <w:uiPriority w:val="9"/>
    <w:pPr>
      <w:ind w:left="1123" w:hanging="361"/>
      <w:outlineLvl w:val="0"/>
    </w:pPr>
    <w:rPr>
      <w:rFonts w:ascii="Microsoft JhengHei" w:hAnsi="Microsoft JhengHei" w:eastAsia="Microsoft JhengHei" w:cs="Microsoft JhengHei"/>
      <w:b/>
      <w:bCs/>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0"/>
    <w:pPr>
      <w:widowControl/>
      <w:ind w:firstLine="883" w:firstLineChars="200"/>
    </w:pPr>
    <w:rPr>
      <w:rFonts w:ascii="Songti SC" w:hAnsi="Songti SC"/>
      <w:sz w:val="24"/>
    </w:rPr>
  </w:style>
  <w:style w:type="paragraph" w:styleId="4">
    <w:name w:val="annotation text"/>
    <w:basedOn w:val="1"/>
    <w:link w:val="26"/>
    <w:unhideWhenUsed/>
    <w:qFormat/>
    <w:uiPriority w:val="99"/>
  </w:style>
  <w:style w:type="paragraph" w:styleId="5">
    <w:name w:val="Body Text"/>
    <w:basedOn w:val="1"/>
    <w:qFormat/>
    <w:uiPriority w:val="1"/>
    <w:rPr>
      <w:szCs w:val="32"/>
    </w:rPr>
  </w:style>
  <w:style w:type="paragraph" w:styleId="6">
    <w:name w:val="toc 5"/>
    <w:basedOn w:val="1"/>
    <w:next w:val="1"/>
    <w:unhideWhenUsed/>
    <w:qFormat/>
    <w:uiPriority w:val="39"/>
    <w:pPr>
      <w:tabs>
        <w:tab w:val="left" w:pos="2162"/>
        <w:tab w:val="right" w:leader="dot" w:pos="8840"/>
      </w:tabs>
    </w:pPr>
  </w:style>
  <w:style w:type="paragraph" w:styleId="7">
    <w:name w:val="toc 3"/>
    <w:basedOn w:val="1"/>
    <w:next w:val="1"/>
    <w:qFormat/>
    <w:uiPriority w:val="39"/>
    <w:pPr>
      <w:spacing w:before="67"/>
      <w:ind w:firstLine="640" w:firstLineChars="200"/>
      <w:outlineLvl w:val="2"/>
    </w:pPr>
    <w:rPr>
      <w:rFonts w:ascii="黑体" w:hAnsi="黑体" w:eastAsia="黑体" w:cs="黑体"/>
      <w:szCs w:val="24"/>
    </w:rPr>
  </w:style>
  <w:style w:type="paragraph" w:styleId="8">
    <w:name w:val="Balloon Text"/>
    <w:basedOn w:val="1"/>
    <w:link w:val="37"/>
    <w:semiHidden/>
    <w:unhideWhenUsed/>
    <w:qFormat/>
    <w:uiPriority w:val="99"/>
    <w:pPr>
      <w:spacing w:line="240" w:lineRule="auto"/>
    </w:pPr>
    <w:rPr>
      <w:sz w:val="18"/>
      <w:szCs w:val="18"/>
    </w:rPr>
  </w:style>
  <w:style w:type="paragraph" w:styleId="9">
    <w:name w:val="footer"/>
    <w:basedOn w:val="1"/>
    <w:link w:val="25"/>
    <w:unhideWhenUsed/>
    <w:qFormat/>
    <w:uiPriority w:val="99"/>
    <w:pPr>
      <w:tabs>
        <w:tab w:val="center" w:pos="4153"/>
        <w:tab w:val="right" w:pos="8306"/>
      </w:tabs>
      <w:snapToGrid w:val="0"/>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67"/>
      <w:ind w:right="426"/>
      <w:jc w:val="right"/>
    </w:pPr>
    <w:rPr>
      <w:b/>
      <w:bCs/>
      <w:sz w:val="24"/>
      <w:szCs w:val="24"/>
    </w:rPr>
  </w:style>
  <w:style w:type="paragraph" w:styleId="12">
    <w:name w:val="toc 4"/>
    <w:basedOn w:val="1"/>
    <w:next w:val="1"/>
    <w:qFormat/>
    <w:uiPriority w:val="39"/>
    <w:pPr>
      <w:spacing w:before="65"/>
      <w:ind w:left="1380"/>
    </w:pPr>
    <w:rPr>
      <w:sz w:val="24"/>
      <w:szCs w:val="24"/>
    </w:rPr>
  </w:style>
  <w:style w:type="paragraph" w:styleId="13">
    <w:name w:val="toc 2"/>
    <w:basedOn w:val="1"/>
    <w:next w:val="1"/>
    <w:qFormat/>
    <w:uiPriority w:val="39"/>
    <w:pPr>
      <w:spacing w:before="67"/>
      <w:ind w:right="423"/>
      <w:jc w:val="right"/>
    </w:pPr>
    <w:rPr>
      <w:rFonts w:ascii="黑体" w:hAnsi="黑体" w:eastAsia="黑体" w:cs="黑体"/>
      <w:sz w:val="24"/>
      <w:szCs w:val="24"/>
    </w:rPr>
  </w:style>
  <w:style w:type="paragraph" w:styleId="14">
    <w:name w:val="Normal (Web)"/>
    <w:basedOn w:val="1"/>
    <w:unhideWhenUsed/>
    <w:qFormat/>
    <w:uiPriority w:val="99"/>
    <w:rPr>
      <w:rFonts w:cs="Times New Roman"/>
      <w:sz w:val="24"/>
      <w:lang w:val="en-US" w:bidi="ar-SA"/>
    </w:rPr>
  </w:style>
  <w:style w:type="paragraph" w:styleId="15">
    <w:name w:val="annotation subject"/>
    <w:basedOn w:val="4"/>
    <w:next w:val="4"/>
    <w:link w:val="27"/>
    <w:unhideWhenUsed/>
    <w:qFormat/>
    <w:uiPriority w:val="99"/>
    <w:rPr>
      <w:b/>
      <w:bCs/>
    </w:rPr>
  </w:style>
  <w:style w:type="character" w:styleId="18">
    <w:name w:val="FollowedHyperlink"/>
    <w:basedOn w:val="17"/>
    <w:unhideWhenUsed/>
    <w:qFormat/>
    <w:uiPriority w:val="99"/>
    <w:rPr>
      <w:color w:val="800080" w:themeColor="followedHyperlink"/>
      <w:u w:val="single"/>
      <w14:textFill>
        <w14:solidFill>
          <w14:schemeClr w14:val="folHlink"/>
        </w14:solidFill>
      </w14:textFill>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unhideWhenUsed/>
    <w:qFormat/>
    <w:uiPriority w:val="99"/>
    <w:rPr>
      <w:sz w:val="21"/>
      <w:szCs w:val="21"/>
    </w:rPr>
  </w:style>
  <w:style w:type="table" w:customStyle="1" w:styleId="21">
    <w:name w:val="Table Normal"/>
    <w:unhideWhenUsed/>
    <w:qFormat/>
    <w:uiPriority w:val="2"/>
    <w:tblPr>
      <w:tblCellMar>
        <w:top w:w="0" w:type="dxa"/>
        <w:left w:w="0" w:type="dxa"/>
        <w:bottom w:w="0" w:type="dxa"/>
        <w:right w:w="0" w:type="dxa"/>
      </w:tblCellMar>
    </w:tblPr>
  </w:style>
  <w:style w:type="paragraph" w:customStyle="1" w:styleId="22">
    <w:name w:val="列表段落1"/>
    <w:basedOn w:val="1"/>
    <w:qFormat/>
    <w:uiPriority w:val="34"/>
    <w:pPr>
      <w:ind w:left="120" w:firstLine="643"/>
    </w:pPr>
  </w:style>
  <w:style w:type="paragraph" w:customStyle="1" w:styleId="23">
    <w:name w:val="Table Paragraph"/>
    <w:basedOn w:val="1"/>
    <w:qFormat/>
    <w:uiPriority w:val="1"/>
  </w:style>
  <w:style w:type="character" w:customStyle="1" w:styleId="24">
    <w:name w:val="页眉 Char"/>
    <w:basedOn w:val="17"/>
    <w:link w:val="10"/>
    <w:qFormat/>
    <w:uiPriority w:val="99"/>
    <w:rPr>
      <w:rFonts w:ascii="宋体" w:hAnsi="宋体" w:eastAsia="宋体" w:cs="宋体"/>
      <w:sz w:val="18"/>
      <w:szCs w:val="18"/>
      <w:lang w:val="zh-CN" w:eastAsia="zh-CN" w:bidi="zh-CN"/>
    </w:rPr>
  </w:style>
  <w:style w:type="character" w:customStyle="1" w:styleId="25">
    <w:name w:val="页脚 Char"/>
    <w:basedOn w:val="17"/>
    <w:link w:val="9"/>
    <w:qFormat/>
    <w:uiPriority w:val="99"/>
    <w:rPr>
      <w:rFonts w:ascii="宋体" w:hAnsi="宋体" w:eastAsia="宋体" w:cs="宋体"/>
      <w:sz w:val="18"/>
      <w:szCs w:val="18"/>
      <w:lang w:val="zh-CN" w:eastAsia="zh-CN" w:bidi="zh-CN"/>
    </w:rPr>
  </w:style>
  <w:style w:type="character" w:customStyle="1" w:styleId="26">
    <w:name w:val="批注文字 Char"/>
    <w:basedOn w:val="17"/>
    <w:link w:val="4"/>
    <w:qFormat/>
    <w:uiPriority w:val="99"/>
    <w:rPr>
      <w:rFonts w:ascii="宋体" w:hAnsi="宋体" w:eastAsia="宋体" w:cs="宋体"/>
      <w:lang w:val="zh-CN" w:eastAsia="zh-CN" w:bidi="zh-CN"/>
    </w:rPr>
  </w:style>
  <w:style w:type="character" w:customStyle="1" w:styleId="27">
    <w:name w:val="批注主题 Char"/>
    <w:basedOn w:val="26"/>
    <w:link w:val="15"/>
    <w:semiHidden/>
    <w:qFormat/>
    <w:uiPriority w:val="99"/>
    <w:rPr>
      <w:rFonts w:ascii="宋体" w:hAnsi="宋体" w:eastAsia="宋体" w:cs="宋体"/>
      <w:b/>
      <w:bCs/>
      <w:lang w:val="zh-CN" w:eastAsia="zh-CN" w:bidi="zh-CN"/>
    </w:rPr>
  </w:style>
  <w:style w:type="paragraph" w:customStyle="1" w:styleId="28">
    <w:name w:val="修订1"/>
    <w:hidden/>
    <w:semiHidden/>
    <w:qFormat/>
    <w:uiPriority w:val="99"/>
    <w:rPr>
      <w:rFonts w:ascii="宋体" w:hAnsi="宋体" w:eastAsia="宋体" w:cs="宋体"/>
      <w:sz w:val="22"/>
      <w:szCs w:val="22"/>
      <w:lang w:val="zh-CN" w:eastAsia="zh-CN" w:bidi="zh-CN"/>
    </w:rPr>
  </w:style>
  <w:style w:type="paragraph" w:customStyle="1" w:styleId="29">
    <w:name w:val="列表段落2"/>
    <w:basedOn w:val="1"/>
    <w:qFormat/>
    <w:uiPriority w:val="99"/>
    <w:pPr>
      <w:ind w:firstLine="420" w:firstLineChars="200"/>
    </w:pPr>
  </w:style>
  <w:style w:type="paragraph" w:customStyle="1" w:styleId="30">
    <w:name w:val="TOC 标题1"/>
    <w:basedOn w:val="3"/>
    <w:next w:val="1"/>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76092" w:themeColor="accent1" w:themeShade="BF"/>
      <w:lang w:val="en-US" w:bidi="ar-SA"/>
    </w:rPr>
  </w:style>
  <w:style w:type="paragraph" w:customStyle="1" w:styleId="31">
    <w:name w:val="TOC 标题2"/>
    <w:basedOn w:val="3"/>
    <w:next w:val="1"/>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76092" w:themeColor="accent1" w:themeShade="BF"/>
      <w:lang w:val="en-US" w:bidi="ar-SA"/>
    </w:rPr>
  </w:style>
  <w:style w:type="character" w:customStyle="1" w:styleId="32">
    <w:name w:val="hao12"/>
    <w:basedOn w:val="17"/>
    <w:qFormat/>
    <w:uiPriority w:val="0"/>
    <w:rPr>
      <w:b/>
    </w:rPr>
  </w:style>
  <w:style w:type="character" w:customStyle="1" w:styleId="33">
    <w:name w:val="wz"/>
    <w:basedOn w:val="17"/>
    <w:qFormat/>
    <w:uiPriority w:val="0"/>
    <w:rPr>
      <w:vanish/>
      <w:color w:val="808080"/>
    </w:rPr>
  </w:style>
  <w:style w:type="character" w:customStyle="1" w:styleId="34">
    <w:name w:val="hao1"/>
    <w:basedOn w:val="17"/>
    <w:qFormat/>
    <w:uiPriority w:val="0"/>
    <w:rPr>
      <w:b/>
    </w:rPr>
  </w:style>
  <w:style w:type="character" w:customStyle="1" w:styleId="35">
    <w:name w:val="无"/>
    <w:qFormat/>
    <w:uiPriority w:val="0"/>
  </w:style>
  <w:style w:type="paragraph" w:customStyle="1" w:styleId="36">
    <w:name w:val="修订2"/>
    <w:hidden/>
    <w:semiHidden/>
    <w:qFormat/>
    <w:uiPriority w:val="99"/>
    <w:rPr>
      <w:rFonts w:ascii="宋体" w:hAnsi="宋体" w:eastAsia="宋体" w:cs="宋体"/>
      <w:sz w:val="32"/>
      <w:szCs w:val="22"/>
      <w:lang w:val="zh-CN" w:eastAsia="zh-CN" w:bidi="zh-CN"/>
    </w:rPr>
  </w:style>
  <w:style w:type="character" w:customStyle="1" w:styleId="37">
    <w:name w:val="批注框文本 Char"/>
    <w:basedOn w:val="17"/>
    <w:link w:val="8"/>
    <w:semiHidden/>
    <w:qFormat/>
    <w:uiPriority w:val="99"/>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MyCompany</Company>
  <Pages>28</Pages>
  <Words>3638</Words>
  <Characters>3700</Characters>
  <Lines>27</Lines>
  <Paragraphs>7</Paragraphs>
  <TotalTime>6</TotalTime>
  <ScaleCrop>false</ScaleCrop>
  <LinksUpToDate>false</LinksUpToDate>
  <CharactersWithSpaces>3759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2021-03-06T09:19:00Z</dcterms:created>
  <dc:creator>微软用户</dc:creator>
  <cp:lastModifiedBy>WPS_546915425</cp:lastModifiedBy>
  <cp:lastPrinted>2021-03-06T07:27:00Z</cp:lastPrinted>
  <dcterms:modified xsi:type="dcterms:W3CDTF">2025-03-17T10:02:07Z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Microsoft® Word 2016</vt:lpwstr>
  </property>
  <property fmtid="{D5CDD505-2E9C-101B-9397-08002B2CF9AE}" pid="4" name="LastSaved">
    <vt:filetime>2021-01-19T00:00:00Z</vt:filetime>
  </property>
  <property fmtid="{D5CDD505-2E9C-101B-9397-08002B2CF9AE}" pid="5" name="KSOProductBuildVer">
    <vt:lpwstr>2052-12.1.0.20305</vt:lpwstr>
  </property>
  <property fmtid="{D5CDD505-2E9C-101B-9397-08002B2CF9AE}" pid="6" name="ICV">
    <vt:lpwstr>B6C494A6AB4D430B9872B1F38F7CC421_13</vt:lpwstr>
  </property>
  <property fmtid="{D5CDD505-2E9C-101B-9397-08002B2CF9AE}" pid="7" name="KSOTemplateDocerSaveRecord">
    <vt:lpwstr>eyJoZGlkIjoiMmRlMzFmOWRiM2E0NzBlOGJkZDhmYWE0MzFjMjRlNTAiLCJ1c2VySWQiOiI1NDY5MTU0MjUifQ==</vt:lpwstr>
  </property>
</Properties>
</file>