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VBSE管理会计课程实践教学系统（简称V管理会计）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介绍：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XXX实验</w:t>
      </w:r>
      <w:r>
        <w:rPr>
          <w:rFonts w:hint="eastAsia" w:ascii="仿宋" w:hAnsi="仿宋" w:eastAsia="仿宋"/>
          <w:sz w:val="24"/>
          <w:szCs w:val="24"/>
        </w:rPr>
        <w:t>室重点引入VBSE管理会计课程实践教学系统（简称V管理会计），以企业用人标准为教学培养目标和教学内容设计导向，以财务人才成长路径为教学贯穿主线，以任务流程为驱动，给学生提供高仿真的企业工作环境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业务流程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业务数据，让学生通过任务驱动.角色扮演等方式的演练，提高学生的财务岗位胜任力。</w:t>
      </w:r>
    </w:p>
    <w:p>
      <w:pPr>
        <w:spacing w:line="276" w:lineRule="auto"/>
        <w:ind w:left="48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1.管理会计实践教学平台设计理念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以工作过程为导向，以学生的职业能力训练和可持续发展为目标，以项目任务为载体，整合工作过程和学习过程，一方面实训中应用理论教学的知识，训练从事职业活动所需的知识与技能，另一方面通过完成工作任务，训练学生职业岗位所需的工作方法与价值观念。最终系统自动做出实训效果的评价，体现所担任岗位胜任的综合能力，便于学生积极寻求自己新的坐标起点，为学生未来的学习与发展夯实基础。</w:t>
      </w:r>
    </w:p>
    <w:p>
      <w:pPr>
        <w:spacing w:line="276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课程开发方法论基于财会[2016]10号，根据《中华人民共和国会计法》、《财政部关于全面推进管理会计体系建设的指导意见》等，财政部制定的《管理会计基本指引》，以及《职业教育要义》（姜大源），构建基于行动导向的教学观。</w:t>
      </w:r>
    </w:p>
    <w:p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rPr>
          <w:rFonts w:ascii="仿宋" w:hAnsi="仿宋" w:eastAsia="仿宋"/>
          <w:sz w:val="24"/>
          <w:szCs w:val="24"/>
          <w:bdr w:val="single" w:color="auto" w:sz="4" w:space="0"/>
        </w:rPr>
      </w:pPr>
      <w:r>
        <w:rPr>
          <w:rFonts w:ascii="仿宋" w:hAnsi="仿宋" w:eastAsia="仿宋"/>
          <w:sz w:val="24"/>
          <w:szCs w:val="24"/>
          <w:bdr w:val="single" w:color="auto" w:sz="4" w:space="0"/>
        </w:rPr>
        <w:drawing>
          <wp:inline distT="0" distB="0" distL="0" distR="0">
            <wp:extent cx="3958590" cy="1866900"/>
            <wp:effectExtent l="9525" t="9525" r="1333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1866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left="48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2.支撑《管理会计》课程内容</w:t>
      </w:r>
    </w:p>
    <w:p>
      <w:pPr>
        <w:spacing w:line="276" w:lineRule="auto"/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color w:val="434343"/>
          <w:sz w:val="24"/>
          <w:szCs w:val="24"/>
        </w:rPr>
        <w:t>课程定位：</w:t>
      </w:r>
      <w:r>
        <w:rPr>
          <w:rFonts w:hint="eastAsia" w:ascii="仿宋" w:hAnsi="仿宋" w:eastAsia="仿宋"/>
          <w:sz w:val="24"/>
          <w:szCs w:val="24"/>
        </w:rPr>
        <w:t>面向高职和应用型本科财会相关专业开展课程实践的教学系统。通过管理会计岗位群的典型工作任务及其工作程序，按照理论实践一体化的教学原则，全方位仿真模拟现代商业社会环境。学生能够体验企业管理会计所需的岗位职业能力，并在实践的过程中逐步熟练掌握规划、决策、控制与评价等管理技能。为后续课程实践和专业综合实践打下坚实的基础。</w:t>
      </w:r>
    </w:p>
    <w:p>
      <w:pPr>
        <w:spacing w:line="276" w:lineRule="auto"/>
        <w:ind w:firstLine="420"/>
        <w:rPr>
          <w:rFonts w:hint="eastAsia" w:ascii="仿宋" w:hAnsi="仿宋" w:eastAsia="仿宋"/>
          <w:sz w:val="24"/>
          <w:szCs w:val="24"/>
        </w:rPr>
      </w:pPr>
    </w:p>
    <w:p>
      <w:pPr>
        <w:spacing w:line="276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color w:val="434343"/>
          <w:sz w:val="24"/>
          <w:szCs w:val="24"/>
        </w:rPr>
        <w:t>课程目标：</w:t>
      </w:r>
      <w:r>
        <w:rPr>
          <w:rFonts w:hint="eastAsia" w:ascii="仿宋" w:hAnsi="仿宋" w:eastAsia="仿宋"/>
          <w:sz w:val="24"/>
          <w:szCs w:val="24"/>
        </w:rPr>
        <w:t>通过管理会计课程的实践实训，使学生逐渐适应财会行业的大数据时代，支持学生的培养从“记账算账”到“决策支持”转型。使学生：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（1）熟知管理会计预测、决策、预算、控制和责任考核等基本概念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（2）认知管理会计应用工具的基本使用方法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（3）具备运用管理会计工具解决企业实际问题的基础实践能力。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（4）提升学生自主学习能力、团队协作能力，培养就业创业素养。</w:t>
      </w:r>
    </w:p>
    <w:p>
      <w:pPr>
        <w:spacing w:line="276" w:lineRule="auto"/>
        <w:ind w:left="480"/>
        <w:rPr>
          <w:rFonts w:ascii="仿宋" w:hAnsi="仿宋" w:eastAsia="仿宋"/>
          <w:b/>
          <w:color w:val="434343"/>
          <w:sz w:val="24"/>
          <w:szCs w:val="24"/>
        </w:rPr>
      </w:pPr>
      <w:r>
        <w:rPr>
          <w:rFonts w:hint="eastAsia" w:ascii="仿宋" w:hAnsi="仿宋" w:eastAsia="仿宋"/>
          <w:b/>
          <w:color w:val="434343"/>
          <w:sz w:val="24"/>
          <w:szCs w:val="24"/>
        </w:rPr>
        <w:t>课程教学计划：</w:t>
      </w:r>
    </w:p>
    <w:p>
      <w:pPr>
        <w:spacing w:line="276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两种授课方式建议，第一种，先理论后实践，总课时32学时；第二种，边理论边实践，总课时32学时两种方式，根据教师上课方式自行选择。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第一种，先理论后实践即“集中实训”方式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DNjNjhkNjU0MmI4NGNhYzc0OTQ3NzQ2Y2VmMDkifQ=="/>
  </w:docVars>
  <w:rsids>
    <w:rsidRoot w:val="6DB2610E"/>
    <w:rsid w:val="6DB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919</Characters>
  <Lines>0</Lines>
  <Paragraphs>0</Paragraphs>
  <TotalTime>0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2023-07-07T09:09:00Z</dcterms:created>
  <dc:creator>Shushu</dc:creator>
  <cp:lastModifiedBy>Shushu</cp:lastModifiedBy>
  <dcterms:modified xsi:type="dcterms:W3CDTF">2023-07-07T09:09:44Z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E8A9138688C74BEFBBD05023346EF648_11</vt:lpwstr>
  </property>
</Properties>
</file>