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B2D5">
      <w:pPr>
        <w:pStyle w:val="2"/>
        <w:ind w:firstLine="261"/>
        <w:jc w:val="center"/>
        <w:rPr>
          <w:rStyle w:val="8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</w:rPr>
      </w:pPr>
      <w:r>
        <w:rPr>
          <w:rStyle w:val="8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 w:eastAsia="zh-TW"/>
        </w:rPr>
        <w:t>马铃薯主粮化战略研究中心</w:t>
      </w:r>
    </w:p>
    <w:p w14:paraId="2134329C">
      <w:pPr>
        <w:pStyle w:val="2"/>
        <w:jc w:val="center"/>
        <w:rPr>
          <w:rFonts w:ascii="仿宋_GB2312" w:hAnsi="仿宋_GB2312" w:eastAsia="仿宋_GB2312" w:cs="仿宋_GB2312"/>
          <w:b/>
          <w:bCs/>
        </w:rPr>
      </w:pPr>
    </w:p>
    <w:p w14:paraId="5C10067F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</w:rPr>
      </w:pP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关于申报</w:t>
      </w:r>
      <w:r>
        <w:rPr>
          <w:rStyle w:val="8"/>
          <w:rFonts w:ascii="仿宋_GB2312" w:hAnsi="仿宋_GB2312" w:eastAsia="仿宋_GB2312" w:cs="仿宋_GB2312"/>
          <w:b/>
          <w:bCs/>
        </w:rPr>
        <w:t>201</w:t>
      </w: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7年度四川省教育厅</w:t>
      </w:r>
      <w:r>
        <w:rPr>
          <w:rStyle w:val="8"/>
          <w:rFonts w:hint="eastAsia" w:ascii="仿宋_GB2312" w:hAnsi="仿宋_GB2312" w:eastAsia="仿宋_GB2312" w:cs="仿宋_GB2312"/>
          <w:b/>
          <w:bCs/>
          <w:lang w:val="en-US" w:eastAsia="zh-CN"/>
        </w:rPr>
        <w:t>高校</w:t>
      </w: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人文社会科学重点研究基地</w:t>
      </w:r>
      <w:r>
        <w:rPr>
          <w:rStyle w:val="8"/>
          <w:rFonts w:ascii="仿宋_GB2312" w:hAnsi="仿宋_GB2312" w:eastAsia="仿宋_GB2312" w:cs="仿宋_GB2312"/>
          <w:b/>
          <w:bCs/>
        </w:rPr>
        <w:t>——</w:t>
      </w:r>
    </w:p>
    <w:p w14:paraId="7E639F8F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Style w:val="8"/>
          <w:rFonts w:ascii="仿宋_GB2312" w:hAnsi="仿宋_GB2312" w:eastAsia="仿宋_GB2312" w:cs="仿宋_GB2312"/>
          <w:b/>
          <w:bCs/>
          <w:lang w:val="zh-TW" w:eastAsia="zh-TW"/>
        </w:rPr>
        <w:t>马铃薯主粮化战略研究中心项目的</w:t>
      </w:r>
    </w:p>
    <w:p w14:paraId="655FA7E4">
      <w:pPr>
        <w:pStyle w:val="2"/>
        <w:jc w:val="center"/>
        <w:rPr>
          <w:rStyle w:val="8"/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Style w:val="8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>公　　</w:t>
      </w:r>
      <w:r>
        <w:rPr>
          <w:rStyle w:val="8"/>
          <w:rFonts w:ascii="Arial" w:hAnsi="Arial"/>
          <w:b/>
          <w:bCs/>
          <w:sz w:val="44"/>
          <w:szCs w:val="44"/>
        </w:rPr>
        <w:t>     </w:t>
      </w:r>
      <w:r>
        <w:rPr>
          <w:rStyle w:val="8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 w14:paraId="78D2FECC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《马铃薯主粮化战略研究中心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7年度课题参考指南》业经马铃薯主粮化战略研究中心学术委员会同意，即日起</w:t>
      </w:r>
      <w:r>
        <w:rPr>
          <w:rStyle w:val="8"/>
          <w:lang w:val="zh-TW" w:eastAsia="zh-TW"/>
        </w:rPr>
        <w:t>对外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发布。现将项目申报有关事宜公告如下：</w:t>
      </w:r>
    </w:p>
    <w:p w14:paraId="69F1B811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  <w:t> </w:t>
      </w: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 w14:paraId="4B5B41CD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紧密围绕国家、地方经济发展战略和地方产业发展需要，结合平台研究方向与学科发展前沿，对</w:t>
      </w:r>
      <w:r>
        <w:rPr>
          <w:rStyle w:val="8"/>
          <w:lang w:val="zh-TW" w:eastAsia="zh-TW"/>
        </w:rPr>
        <w:t>国内</w:t>
      </w:r>
      <w:r>
        <w:rPr>
          <w:lang w:val="zh-CN"/>
        </w:rPr>
        <w:t>外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马铃薯主粮化战略研究领域中的重点和热点问题开展研究，推动研究成果服务于地方经济文化建设。</w:t>
      </w:r>
    </w:p>
    <w:p w14:paraId="0320A9A0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二、课题申报要求</w:t>
      </w:r>
    </w:p>
    <w:p w14:paraId="663FA442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申报成功的同一课题不得重复申报。申请者一般应具有讲师及以上职称或具有博士学位，若不具有讲师及以上职称的申请者，须由两名具有高级职称的同行专家推荐。课题分为重点项目和一般项目及自筹项目，重点项目2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zh-TW"/>
        </w:rPr>
        <w:t>-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4项、1.5万元/项；一般项目5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zh-TW"/>
        </w:rPr>
        <w:t>-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10项、7000元/项，课题成果须明确标注“马铃薯主粮化战略研究中心资助项目”。为保证评审工作的公正性，严格评审纪律，在评审会召开之前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zh-TW"/>
        </w:rPr>
        <w:t>。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任何单位或个人均不得以任何名义走访评审专家，一经发现，取消申报资格。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 </w:t>
      </w:r>
    </w:p>
    <w:p w14:paraId="65F09B5B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 w14:paraId="7A743A48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CSSCI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SSCI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2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8"/>
          <w:lang w:val="zh-TW" w:eastAsia="zh-TW"/>
        </w:rPr>
        <w:t>一般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 w14:paraId="2E997885">
      <w:pPr>
        <w:pStyle w:val="9"/>
        <w:widowControl/>
        <w:spacing w:before="100" w:after="240" w:line="288" w:lineRule="auto"/>
        <w:jc w:val="left"/>
        <w:outlineLvl w:val="0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四、课题申报途径</w:t>
      </w:r>
    </w:p>
    <w:p w14:paraId="74FF315A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>  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项目申报需要的各种材料（包括课题指南、申报书）请从马铃薯主粮化战略研究中心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“</w:t>
      </w:r>
      <w:r>
        <w:rPr>
          <w:rStyle w:val="8"/>
          <w:lang w:val="zh-TW" w:eastAsia="zh-TW"/>
        </w:rPr>
        <w:t>项目管理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”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下载（网址：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http://pfsrc.xcc.edu.cn/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）。本公告及有关材料同时在网站上发布，欢迎查询。</w:t>
      </w:r>
    </w:p>
    <w:p w14:paraId="4DB93C70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 w14:paraId="5381D094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</w:rPr>
        <w:t xml:space="preserve">   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7年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3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31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份原件，2份复印件），申报书电子文档发至中心邮箱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MLSYJZX@163.com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，逾期不再受理。来函请采用中国邮政或</w:t>
      </w:r>
      <w:r>
        <w:rPr>
          <w:rStyle w:val="8"/>
          <w:lang w:val="zh-TW" w:eastAsia="zh-TW"/>
        </w:rPr>
        <w:t>顺丰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快递，以便接收。</w:t>
      </w:r>
    </w:p>
    <w:p w14:paraId="3325E569">
      <w:pPr>
        <w:pStyle w:val="9"/>
        <w:widowControl/>
        <w:spacing w:before="100" w:after="240" w:line="288" w:lineRule="auto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 w14:paraId="7859FF93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</w:p>
    <w:p w14:paraId="7674C2A5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615013</w:t>
      </w:r>
    </w:p>
    <w:p w14:paraId="55A6AB4A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0834-2581020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zh-CN"/>
        </w:rPr>
        <w:t>，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手机号码：18228720307</w:t>
      </w:r>
    </w:p>
    <w:p w14:paraId="128D985A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"mailto:MLSYJZX@163.com" </w:instrText>
      </w:r>
      <w:r>
        <w:fldChar w:fldCharType="separate"/>
      </w:r>
      <w:r>
        <w:rPr>
          <w:rStyle w:val="10"/>
        </w:rPr>
        <w:t>MLSYJZX@163.com</w:t>
      </w:r>
      <w:r>
        <w:rPr>
          <w:rStyle w:val="10"/>
        </w:rPr>
        <w:fldChar w:fldCharType="end"/>
      </w:r>
    </w:p>
    <w:p w14:paraId="7B5B0289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  <w:lang w:val="zh-TW" w:eastAsia="zh-TW"/>
        </w:rPr>
        <w:t>联系人：蔡昌艳。</w:t>
      </w:r>
    </w:p>
    <w:p w14:paraId="4534EE7B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kern w:val="0"/>
          <w:sz w:val="24"/>
          <w:szCs w:val="24"/>
        </w:rPr>
        <w:t> </w:t>
      </w:r>
    </w:p>
    <w:p w14:paraId="685575EF">
      <w:pPr>
        <w:pStyle w:val="9"/>
        <w:widowControl/>
        <w:spacing w:before="100" w:after="240" w:line="360" w:lineRule="auto"/>
        <w:jc w:val="center"/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zh-TW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Style w:val="8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</w:rPr>
        <w:t>　　　</w:t>
      </w:r>
      <w:r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四川省教育厅</w:t>
      </w:r>
      <w:r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en-US" w:eastAsia="zh-CN"/>
        </w:rPr>
        <w:t>高校</w:t>
      </w:r>
      <w:bookmarkStart w:id="0" w:name="_GoBack"/>
      <w:bookmarkEnd w:id="0"/>
      <w:r>
        <w:rPr>
          <w:rStyle w:val="8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人文社会科学重点研究基地</w:t>
      </w:r>
    </w:p>
    <w:p w14:paraId="7560BE73">
      <w:pPr>
        <w:spacing w:line="360" w:lineRule="auto"/>
        <w:rPr>
          <w:rStyle w:val="8"/>
          <w:rFonts w:cs="宋体" w:asciiTheme="minorEastAsia" w:hAnsiTheme="minorEastAsia"/>
          <w:bCs/>
          <w:lang w:val="zh-TW" w:eastAsia="zh-TW"/>
        </w:rPr>
      </w:pPr>
      <w:r>
        <w:rPr>
          <w:rStyle w:val="8"/>
          <w:rFonts w:hint="eastAsia" w:cs="宋体" w:asciiTheme="minorEastAsia" w:hAnsiTheme="minorEastAsia"/>
          <w:b/>
          <w:bCs/>
          <w:lang w:val="zh-TW"/>
        </w:rPr>
        <w:t xml:space="preserve">    </w:t>
      </w:r>
      <w:r>
        <w:rPr>
          <w:rStyle w:val="8"/>
          <w:rFonts w:hint="eastAsia" w:cs="宋体" w:asciiTheme="minorEastAsia" w:hAnsiTheme="minorEastAsia"/>
          <w:b/>
          <w:bCs/>
          <w:lang w:val="zh-TW" w:eastAsia="zh-CN"/>
        </w:rPr>
        <w:t>　　　　　　　　　　　　　　——</w:t>
      </w:r>
      <w:r>
        <w:rPr>
          <w:rStyle w:val="8"/>
          <w:rFonts w:hint="eastAsia" w:cs="宋体" w:asciiTheme="minorEastAsia" w:hAnsiTheme="minorEastAsia"/>
          <w:bCs/>
          <w:lang w:val="zh-TW"/>
        </w:rPr>
        <w:t>马铃薯主粮化战略</w:t>
      </w:r>
      <w:r>
        <w:rPr>
          <w:rStyle w:val="8"/>
          <w:rFonts w:cs="宋体" w:asciiTheme="minorEastAsia" w:hAnsiTheme="minorEastAsia"/>
          <w:bCs/>
          <w:lang w:val="zh-TW" w:eastAsia="zh-TW"/>
        </w:rPr>
        <w:t>研究中心</w:t>
      </w:r>
    </w:p>
    <w:p w14:paraId="34E3D53A">
      <w:pPr>
        <w:pStyle w:val="9"/>
        <w:widowControl/>
        <w:spacing w:before="100" w:after="240" w:line="360" w:lineRule="auto"/>
        <w:jc w:val="center"/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 xml:space="preserve">              　　　　 </w:t>
      </w:r>
      <w:r>
        <w:rPr>
          <w:rStyle w:val="8"/>
          <w:rFonts w:ascii="宋体" w:hAnsi="宋体" w:eastAsia="宋体" w:cs="宋体"/>
          <w:bCs/>
          <w:kern w:val="0"/>
          <w:sz w:val="24"/>
          <w:szCs w:val="24"/>
          <w:lang w:val="zh-TW"/>
        </w:rPr>
        <w:t>二O一七年</w:t>
      </w:r>
      <w:r>
        <w:rPr>
          <w:rStyle w:val="8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二</w:t>
      </w:r>
      <w:r>
        <w:rPr>
          <w:rStyle w:val="8"/>
          <w:rFonts w:ascii="宋体" w:hAnsi="宋体" w:eastAsia="宋体" w:cs="宋体"/>
          <w:bCs/>
          <w:kern w:val="0"/>
          <w:sz w:val="24"/>
          <w:szCs w:val="24"/>
          <w:lang w:val="zh-TW"/>
        </w:rPr>
        <w:t>月十</w:t>
      </w:r>
      <w:r>
        <w:rPr>
          <w:rStyle w:val="8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五</w:t>
      </w:r>
      <w:r>
        <w:rPr>
          <w:rStyle w:val="8"/>
          <w:rFonts w:ascii="宋体" w:hAnsi="宋体" w:eastAsia="宋体" w:cs="宋体"/>
          <w:bCs/>
          <w:kern w:val="0"/>
          <w:sz w:val="24"/>
          <w:szCs w:val="24"/>
          <w:lang w:val="zh-TW"/>
        </w:rPr>
        <w:t>日</w:t>
      </w:r>
    </w:p>
    <w:p w14:paraId="01434B21">
      <w:pPr>
        <w:pStyle w:val="9"/>
        <w:widowControl/>
        <w:spacing w:before="100" w:after="240" w:line="288" w:lineRule="auto"/>
        <w:ind w:firstLine="480"/>
        <w:jc w:val="left"/>
        <w:rPr>
          <w:rStyle w:val="8"/>
          <w:rFonts w:ascii="宋体" w:hAnsi="宋体" w:eastAsia="宋体" w:cs="宋体"/>
          <w:kern w:val="0"/>
          <w:sz w:val="24"/>
          <w:szCs w:val="24"/>
        </w:rPr>
      </w:pPr>
    </w:p>
    <w:p w14:paraId="4DC10F29">
      <w:pPr>
        <w:pStyle w:val="9"/>
        <w:widowControl/>
        <w:spacing w:before="100" w:after="240" w:line="288" w:lineRule="auto"/>
        <w:jc w:val="center"/>
        <w:rPr>
          <w:rStyle w:val="8"/>
          <w:rFonts w:ascii="宋体" w:hAnsi="宋体" w:eastAsia="宋体" w:cs="宋体"/>
          <w:b/>
          <w:bCs/>
          <w:kern w:val="0"/>
          <w:sz w:val="24"/>
          <w:szCs w:val="24"/>
          <w:lang w:val="zh-TW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sz w:val="24"/>
          <w:szCs w:val="24"/>
          <w:lang w:val="zh-TW"/>
        </w:rPr>
        <w:t xml:space="preserve">           </w:t>
      </w:r>
    </w:p>
    <w:p w14:paraId="13671E80">
      <w:pPr>
        <w:pStyle w:val="9"/>
        <w:widowControl/>
        <w:spacing w:before="100" w:after="240"/>
        <w:jc w:val="right"/>
        <w:rPr>
          <w:rStyle w:val="8"/>
          <w:rFonts w:ascii="宋体" w:hAnsi="宋体" w:eastAsia="宋体" w:cs="宋体"/>
          <w:kern w:val="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kern w:val="0"/>
          <w:sz w:val="24"/>
          <w:szCs w:val="24"/>
        </w:rPr>
        <w:t> </w:t>
      </w:r>
    </w:p>
    <w:p w14:paraId="492CD04F">
      <w:pPr>
        <w:pStyle w:val="2"/>
        <w:rPr>
          <w:rFonts w:ascii="Arial" w:hAnsi="Arial" w:eastAsia="Arial" w:cs="Arial"/>
          <w:sz w:val="18"/>
          <w:szCs w:val="18"/>
        </w:rPr>
      </w:pPr>
    </w:p>
    <w:p w14:paraId="708C29BE">
      <w:pPr>
        <w:pStyle w:val="9"/>
      </w:pPr>
    </w:p>
    <w:p w14:paraId="5A8E4569">
      <w:pPr>
        <w:pStyle w:val="9"/>
      </w:pPr>
    </w:p>
    <w:p w14:paraId="19B06CE9">
      <w:pPr>
        <w:pStyle w:val="9"/>
        <w:rPr>
          <w:rFonts w:hint="eastAsia" w:eastAsiaTheme="minorEastAsia"/>
        </w:rPr>
      </w:pPr>
    </w:p>
    <w:p w14:paraId="532872F3">
      <w:pPr>
        <w:pStyle w:val="9"/>
        <w:rPr>
          <w:rFonts w:hint="eastAsia" w:eastAsiaTheme="minorEastAsia"/>
        </w:rPr>
      </w:pPr>
    </w:p>
    <w:p w14:paraId="37D3FCF0">
      <w:pPr>
        <w:pStyle w:val="9"/>
        <w:spacing w:line="360" w:lineRule="auto"/>
        <w:jc w:val="center"/>
        <w:rPr>
          <w:rStyle w:val="8"/>
          <w:rFonts w:ascii="宋体" w:hAnsi="宋体" w:eastAsia="宋体" w:cs="宋体"/>
          <w:b/>
          <w:bCs/>
          <w:color w:val="FF0000"/>
          <w:sz w:val="44"/>
          <w:szCs w:val="44"/>
          <w:u w:color="FF0000"/>
          <w:lang w:val="zh-TW"/>
        </w:rPr>
      </w:pPr>
      <w:r>
        <w:rPr>
          <w:rStyle w:val="8"/>
          <w:rFonts w:ascii="宋体" w:hAnsi="宋体" w:eastAsia="宋体" w:cs="宋体"/>
          <w:b/>
          <w:bCs/>
          <w:color w:val="FF0000"/>
          <w:sz w:val="44"/>
          <w:szCs w:val="44"/>
          <w:u w:color="FF0000"/>
          <w:lang w:val="zh-TW" w:eastAsia="zh-TW"/>
        </w:rPr>
        <w:t>马铃薯主粮化战略研究中心课题指南</w:t>
      </w:r>
    </w:p>
    <w:p w14:paraId="0C8BCEEE">
      <w:pPr>
        <w:pStyle w:val="9"/>
        <w:spacing w:line="360" w:lineRule="auto"/>
        <w:jc w:val="left"/>
        <w:rPr>
          <w:rStyle w:val="8"/>
          <w:rFonts w:ascii="宋体" w:hAnsi="宋体" w:eastAsia="宋体" w:cs="宋体"/>
          <w:b/>
          <w:bCs/>
          <w:color w:val="FF0000"/>
          <w:sz w:val="24"/>
          <w:szCs w:val="24"/>
          <w:u w:color="FF0000"/>
          <w:lang w:val="zh-TW"/>
        </w:rPr>
      </w:pPr>
      <w:r>
        <w:rPr>
          <w:rStyle w:val="8"/>
          <w:rFonts w:eastAsia="Arial Unicode MS"/>
          <w:sz w:val="24"/>
          <w:szCs w:val="24"/>
          <w:lang w:val="zh-TW" w:eastAsia="zh-TW"/>
        </w:rPr>
        <w:t>（</w:t>
      </w:r>
      <w:r>
        <w:rPr>
          <w:rStyle w:val="8"/>
          <w:rFonts w:hint="eastAsia" w:eastAsia="Arial Unicode MS"/>
          <w:sz w:val="24"/>
          <w:szCs w:val="24"/>
          <w:lang w:val="zh-TW" w:eastAsia="zh-TW"/>
        </w:rPr>
        <w:t>项目指南所列条目仅为申报者提供选题依据，申报者可自拟题目。）</w:t>
      </w:r>
    </w:p>
    <w:p w14:paraId="7C3A36AF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1、中国马铃薯主粮化政策体系构建问题研究</w:t>
      </w:r>
    </w:p>
    <w:p w14:paraId="1146B68C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2、马铃薯主粮化战略保障体系的构建问题</w:t>
      </w:r>
    </w:p>
    <w:p w14:paraId="2D9EAED4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3、基于马铃薯主粮化背景下的政府行为研究</w:t>
      </w:r>
    </w:p>
    <w:p w14:paraId="3196DC0A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4、马铃薯节本增效潜力及途径研究</w:t>
      </w:r>
    </w:p>
    <w:p w14:paraId="6B3AEC41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5、马铃薯产业与民族地区精准扶贫研究</w:t>
      </w:r>
    </w:p>
    <w:p w14:paraId="1A682D1E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6、基于马铃薯主粮化背景下的农业产业布局研究</w:t>
      </w:r>
    </w:p>
    <w:p w14:paraId="32D8ABF9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7、马铃薯产品市场开发与产业化问题研究</w:t>
      </w:r>
    </w:p>
    <w:p w14:paraId="774107D2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8、国内马铃薯主产区产业化发展研究</w:t>
      </w:r>
    </w:p>
    <w:p w14:paraId="7DBE21F0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9、马铃薯主产国产业发展比较研究</w:t>
      </w:r>
    </w:p>
    <w:p w14:paraId="7DDAD6CD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10、马铃薯全产业链问题研究</w:t>
      </w:r>
    </w:p>
    <w:p w14:paraId="0410435C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11、马铃薯主产区专业市场构建研究</w:t>
      </w:r>
    </w:p>
    <w:p w14:paraId="16403113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12、马铃薯产销信息监测系统与预警分析研究</w:t>
      </w:r>
    </w:p>
    <w:p w14:paraId="09169EE2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13、马铃薯流通体系研究</w:t>
      </w:r>
    </w:p>
    <w:p w14:paraId="4E4770F4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14、马铃薯储藏问题研究</w:t>
      </w:r>
    </w:p>
    <w:p w14:paraId="27B440C2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15、马铃薯合作社研究</w:t>
      </w:r>
    </w:p>
    <w:p w14:paraId="4EDBC996">
      <w:pPr>
        <w:pStyle w:val="9"/>
        <w:spacing w:line="360" w:lineRule="auto"/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8"/>
          <w:rFonts w:ascii="宋体" w:hAnsi="宋体" w:eastAsia="宋体" w:cs="宋体"/>
          <w:b/>
          <w:bCs/>
          <w:sz w:val="24"/>
          <w:szCs w:val="24"/>
          <w:lang w:val="zh-TW" w:eastAsia="zh-TW"/>
        </w:rPr>
        <w:t>16、马铃薯主粮化文化问题</w:t>
      </w:r>
    </w:p>
    <w:p w14:paraId="1146874A">
      <w:pPr>
        <w:pStyle w:val="9"/>
        <w:spacing w:line="360" w:lineRule="auto"/>
        <w:rPr>
          <w:rStyle w:val="8"/>
          <w:sz w:val="27"/>
          <w:szCs w:val="27"/>
          <w:lang w:val="zh-TW" w:eastAsia="zh-TW"/>
        </w:rPr>
      </w:pPr>
    </w:p>
    <w:p w14:paraId="3E79E381">
      <w:pPr>
        <w:pStyle w:val="9"/>
        <w:spacing w:line="360" w:lineRule="auto"/>
        <w:rPr>
          <w:rFonts w:ascii="宋体" w:hAnsi="宋体" w:eastAsia="宋体" w:cs="宋体"/>
          <w:b/>
          <w:bCs/>
          <w:lang w:val="zh-TW" w:eastAsia="zh-TW"/>
        </w:rPr>
      </w:pPr>
    </w:p>
    <w:p w14:paraId="22712ED6">
      <w:pPr>
        <w:pStyle w:val="9"/>
        <w:spacing w:line="360" w:lineRule="auto"/>
        <w:rPr>
          <w:rFonts w:ascii="宋体" w:hAnsi="宋体" w:eastAsia="宋体" w:cs="宋体"/>
          <w:b/>
          <w:bCs/>
          <w:lang w:val="zh-TW" w:eastAsia="zh-TW"/>
        </w:rPr>
      </w:pPr>
    </w:p>
    <w:p w14:paraId="4C495462">
      <w:pPr>
        <w:pStyle w:val="9"/>
        <w:spacing w:line="360" w:lineRule="auto"/>
      </w:pPr>
    </w:p>
    <w:p w14:paraId="7C6FF17C">
      <w:pPr>
        <w:pStyle w:val="9"/>
        <w:spacing w:line="360" w:lineRule="auto"/>
      </w:pPr>
    </w:p>
    <w:p w14:paraId="1E68FCCA">
      <w:pPr>
        <w:pStyle w:val="9"/>
        <w:spacing w:line="360" w:lineRule="auto"/>
      </w:pPr>
    </w:p>
    <w:p w14:paraId="21DB300D">
      <w:pPr>
        <w:pStyle w:val="9"/>
        <w:spacing w:line="360" w:lineRule="auto"/>
      </w:pPr>
    </w:p>
    <w:p w14:paraId="71F3E3F5">
      <w:pPr>
        <w:pStyle w:val="9"/>
        <w:spacing w:line="360" w:lineRule="auto"/>
      </w:pPr>
    </w:p>
    <w:p w14:paraId="4B06A038">
      <w:pPr>
        <w:pStyle w:val="9"/>
        <w:spacing w:line="360" w:lineRule="auto"/>
      </w:pPr>
    </w:p>
    <w:p w14:paraId="72518C02">
      <w:pPr>
        <w:pStyle w:val="9"/>
        <w:spacing w:line="360" w:lineRule="auto"/>
        <w:rPr>
          <w:rFonts w:hint="eastAsia" w:eastAsiaTheme="minorEastAsia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Microsoft Sans Serif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7748C6"/>
    <w:rsid w:val="00140F24"/>
    <w:rsid w:val="001C3FA0"/>
    <w:rsid w:val="004B0DDF"/>
    <w:rsid w:val="006B664D"/>
    <w:rsid w:val="006E349D"/>
    <w:rsid w:val="007748C6"/>
    <w:rsid w:val="008B1272"/>
    <w:rsid w:val="00BF61FA"/>
    <w:rsid w:val="00CD2229"/>
    <w:rsid w:val="00D03F3B"/>
    <w:rsid w:val="00E33E70"/>
    <w:rsid w:val="00E92C0F"/>
    <w:rsid w:val="4D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24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8">
    <w:name w:val="无 A"/>
    <w:uiPriority w:val="0"/>
    <w:rPr>
      <w:lang w:val="en-US"/>
    </w:rPr>
  </w:style>
  <w:style w:type="paragraph" w:customStyle="1" w:styleId="9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Hyperlink.0"/>
    <w:basedOn w:val="8"/>
    <w:uiPriority w:val="0"/>
    <w:rPr>
      <w:rFonts w:ascii="宋体" w:hAnsi="宋体" w:eastAsia="宋体" w:cs="宋体"/>
      <w:color w:val="0000FF"/>
      <w:kern w:val="0"/>
      <w:sz w:val="24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1275</Words>
  <Characters>1392</Characters>
  <Lines>11</Lines>
  <Paragraphs>3</Paragraphs>
  <TotalTime>17</TotalTime>
  <ScaleCrop>false</ScaleCrop>
  <LinksUpToDate>false</LinksUpToDate>
  <CharactersWithSpaces>1481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2017-02-14T02:37:00Z</dcterms:created>
  <dc:creator>62473</dc:creator>
  <cp:lastModifiedBy>羊秋蓉</cp:lastModifiedBy>
  <dcterms:modified xsi:type="dcterms:W3CDTF">2026-01-06T03:06:54Z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eyJoZGlkIjoiZTExYzMxNDlkMTZmMzEzZjM4YTZkY2YzODA0ZGJiNDEiLCJ1c2VySWQiOiIyNTgzOTQwNzAifQ==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CE1B6E64EDF54DF58691E617EFD5493D_12</vt:lpwstr>
  </property>
</Properties>
</file>