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8"/>
        </w:rPr>
      </w:pPr>
      <w:r>
        <w:rPr>
          <w:rFonts w:hint="eastAsia" w:ascii="Times New Roman" w:hAnsi="Times New Roman" w:eastAsia="宋体" w:cs="Times New Roman"/>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5"/>
                    <a:stretch>
                      <a:fillRect/>
                    </a:stretch>
                  </pic:blipFill>
                  <pic:spPr>
                    <a:xfrm>
                      <a:off x="0" y="0"/>
                      <a:ext cx="3005455" cy="868680"/>
                    </a:xfrm>
                    <a:prstGeom prst="rect">
                      <a:avLst/>
                    </a:prstGeom>
                  </pic:spPr>
                </pic:pic>
              </a:graphicData>
            </a:graphic>
          </wp:inline>
        </w:drawing>
      </w:r>
    </w:p>
    <w:p>
      <w:pPr>
        <w:spacing w:line="500" w:lineRule="exact"/>
        <w:ind w:firstLine="720" w:firstLineChars="200"/>
        <w:rPr>
          <w:rFonts w:ascii="Times New Roman" w:hAnsi="Times New Roman" w:eastAsia="宋体" w:cs="Times New Roman"/>
          <w:sz w:val="36"/>
          <w:szCs w:val="36"/>
        </w:rPr>
      </w:pPr>
    </w:p>
    <w:p>
      <w:pPr>
        <w:spacing w:line="480" w:lineRule="auto"/>
        <w:jc w:val="cente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120"/>
          <w:szCs w:val="120"/>
        </w:rPr>
        <w:t>高教信息参考</w:t>
      </w:r>
    </w:p>
    <w:p>
      <w:pPr>
        <w:spacing w:line="500" w:lineRule="exact"/>
        <w:ind w:right="105" w:rightChars="5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ascii="Times New Roman" w:hAnsi="Times New Roman" w:eastAsia="宋体" w:cs="Times New Roman"/>
          <w:b/>
          <w:sz w:val="28"/>
          <w:szCs w:val="28"/>
        </w:rPr>
        <w:t>6</w:t>
      </w:r>
      <w:r>
        <w:rPr>
          <w:rFonts w:hint="eastAsia" w:ascii="Times New Roman" w:hAnsi="Times New Roman" w:eastAsia="宋体" w:cs="Times New Roman"/>
          <w:b/>
          <w:sz w:val="28"/>
          <w:szCs w:val="28"/>
        </w:rPr>
        <w:t>年</w:t>
      </w:r>
      <w:r>
        <w:rPr>
          <w:rFonts w:ascii="Times New Roman" w:hAnsi="Times New Roman" w:eastAsia="宋体" w:cs="Times New Roman"/>
          <w:b/>
          <w:sz w:val="28"/>
          <w:szCs w:val="28"/>
        </w:rPr>
        <w:t>第0</w:t>
      </w:r>
      <w:r>
        <w:rPr>
          <w:rFonts w:hint="eastAsia" w:ascii="Times New Roman" w:hAnsi="Times New Roman" w:eastAsia="宋体" w:cs="Times New Roman"/>
          <w:b/>
          <w:sz w:val="28"/>
          <w:szCs w:val="28"/>
        </w:rPr>
        <w:t>4</w:t>
      </w:r>
      <w:r>
        <w:rPr>
          <w:rFonts w:ascii="Times New Roman" w:hAnsi="Times New Roman" w:eastAsia="宋体" w:cs="Times New Roman"/>
          <w:b/>
          <w:sz w:val="28"/>
          <w:szCs w:val="28"/>
        </w:rPr>
        <w:t>期</w:t>
      </w:r>
    </w:p>
    <w:p>
      <w:pPr>
        <w:spacing w:line="500" w:lineRule="exact"/>
        <w:ind w:right="105" w:rightChars="50"/>
        <w:jc w:val="center"/>
        <w:rPr>
          <w:rFonts w:ascii="Times New Roman" w:hAnsi="Times New Roman" w:eastAsia="宋体" w:cs="Times New Roman"/>
          <w:b/>
          <w:sz w:val="28"/>
          <w:szCs w:val="28"/>
        </w:rPr>
      </w:pPr>
      <w:r>
        <w:rPr>
          <w:rFonts w:ascii="Times New Roman" w:hAnsi="Times New Roman" w:eastAsia="宋体" w:cs="Times New Roman"/>
          <w:b/>
          <w:sz w:val="28"/>
          <w:szCs w:val="28"/>
        </w:rPr>
        <w:t>（总第9</w:t>
      </w:r>
      <w:r>
        <w:rPr>
          <w:rFonts w:hint="eastAsia" w:ascii="Times New Roman" w:hAnsi="Times New Roman" w:eastAsia="宋体" w:cs="Times New Roman"/>
          <w:b/>
          <w:sz w:val="28"/>
          <w:szCs w:val="28"/>
        </w:rPr>
        <w:t>3</w:t>
      </w:r>
      <w:r>
        <w:rPr>
          <w:rFonts w:ascii="Times New Roman" w:hAnsi="Times New Roman" w:eastAsia="宋体" w:cs="Times New Roman"/>
          <w:b/>
          <w:sz w:val="28"/>
          <w:szCs w:val="28"/>
        </w:rPr>
        <w:t>期）</w:t>
      </w:r>
    </w:p>
    <w:p>
      <w:pPr>
        <w:spacing w:line="500" w:lineRule="exact"/>
        <w:ind w:right="105" w:rightChars="50" w:firstLine="281" w:firstLineChars="100"/>
        <w:rPr>
          <w:rFonts w:ascii="Times New Roman" w:hAnsi="Times New Roman" w:eastAsia="宋体" w:cs="Times New Roman"/>
          <w:b/>
          <w:sz w:val="28"/>
          <w:szCs w:val="28"/>
        </w:rPr>
      </w:pPr>
      <w:r>
        <w:rPr>
          <w:rFonts w:ascii="Times New Roman" w:hAnsi="Times New Roman" w:eastAsia="宋体" w:cs="Times New Roman"/>
          <w:b/>
          <w:sz w:val="28"/>
          <w:szCs w:val="28"/>
        </w:rPr>
        <w:t>发展规划处</w:t>
      </w:r>
      <w:r>
        <w:rPr>
          <w:rFonts w:hint="eastAsia" w:ascii="Times New Roman" w:hAnsi="Times New Roman" w:eastAsia="宋体" w:cs="Times New Roman"/>
          <w:b/>
          <w:sz w:val="28"/>
          <w:szCs w:val="28"/>
        </w:rPr>
        <w:t>高等教育研究所</w:t>
      </w:r>
      <w:r>
        <w:rPr>
          <w:rFonts w:ascii="Times New Roman" w:hAnsi="Times New Roman" w:eastAsia="宋体" w:cs="Times New Roman"/>
          <w:b/>
          <w:sz w:val="28"/>
          <w:szCs w:val="28"/>
        </w:rPr>
        <w:t xml:space="preserve">           二〇</w:t>
      </w:r>
      <w:r>
        <w:rPr>
          <w:rFonts w:hint="eastAsia" w:ascii="Times New Roman" w:hAnsi="Times New Roman" w:eastAsia="宋体" w:cs="Times New Roman"/>
          <w:b/>
          <w:sz w:val="28"/>
          <w:szCs w:val="28"/>
        </w:rPr>
        <w:t>二六</w:t>
      </w:r>
      <w:r>
        <w:rPr>
          <w:rFonts w:ascii="Times New Roman" w:hAnsi="Times New Roman" w:eastAsia="宋体" w:cs="Times New Roman"/>
          <w:b/>
          <w:sz w:val="28"/>
          <w:szCs w:val="28"/>
        </w:rPr>
        <w:t>年</w:t>
      </w:r>
      <w:r>
        <w:rPr>
          <w:rFonts w:hint="eastAsia" w:ascii="Times New Roman" w:hAnsi="Times New Roman" w:eastAsia="宋体" w:cs="Times New Roman"/>
          <w:b/>
          <w:sz w:val="28"/>
          <w:szCs w:val="28"/>
        </w:rPr>
        <w:t>五</w:t>
      </w:r>
      <w:r>
        <w:rPr>
          <w:rFonts w:ascii="Times New Roman" w:hAnsi="Times New Roman" w:eastAsia="宋体" w:cs="Times New Roman"/>
          <w:b/>
          <w:sz w:val="28"/>
          <w:szCs w:val="28"/>
        </w:rPr>
        <w:t>月</w:t>
      </w:r>
      <w:r>
        <w:rPr>
          <w:rFonts w:hint="eastAsia" w:ascii="Times New Roman" w:hAnsi="Times New Roman" w:eastAsia="宋体" w:cs="Times New Roman"/>
          <w:b/>
          <w:sz w:val="28"/>
          <w:szCs w:val="28"/>
        </w:rPr>
        <w:t>三十</w:t>
      </w:r>
      <w:r>
        <w:rPr>
          <w:rFonts w:ascii="Times New Roman" w:hAnsi="Times New Roman" w:eastAsia="宋体" w:cs="Times New Roman"/>
          <w:b/>
          <w:sz w:val="28"/>
          <w:szCs w:val="28"/>
        </w:rPr>
        <w:t>日</w:t>
      </w:r>
    </w:p>
    <w:p>
      <w:pPr>
        <w:spacing w:line="500" w:lineRule="exact"/>
        <w:ind w:right="105" w:rightChars="50"/>
        <w:jc w:val="center"/>
        <w:rPr>
          <w:rFonts w:ascii="Times New Roman" w:hAnsi="Times New Roman" w:eastAsia="宋体" w:cs="Times New Roman"/>
          <w:sz w:val="36"/>
          <w:szCs w:val="36"/>
        </w:rPr>
      </w:pPr>
      <w:r>
        <w:rPr>
          <w:rFonts w:ascii="Times New Roman" w:hAnsi="Times New Roman"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pPr>
        <w:pStyle w:val="25"/>
        <w:widowControl/>
        <w:ind w:firstLine="0" w:firstLineChars="0"/>
        <w:jc w:val="center"/>
        <w:rPr>
          <w:rFonts w:ascii="Times New Roman" w:hAnsi="Times New Roman"/>
          <w:b/>
          <w:bCs/>
          <w:sz w:val="36"/>
          <w:szCs w:val="28"/>
        </w:rPr>
      </w:pPr>
      <w:r>
        <w:rPr>
          <w:rFonts w:hint="eastAsia" w:ascii="Times New Roman" w:hAnsi="Times New Roman"/>
          <w:b/>
          <w:bCs/>
          <w:sz w:val="36"/>
          <w:szCs w:val="28"/>
        </w:rPr>
        <w:t>本  期  目  录</w:t>
      </w:r>
    </w:p>
    <w:sdt>
      <w:sdtPr>
        <w:rPr>
          <w:rFonts w:ascii="Times New Roman" w:hAnsi="Times New Roman"/>
          <w:b/>
          <w:lang w:val="zh-CN"/>
        </w:rPr>
        <w:id w:val="800039260"/>
        <w:docPartObj>
          <w:docPartGallery w:val="Table of Contents"/>
          <w:docPartUnique/>
        </w:docPartObj>
      </w:sdtPr>
      <w:sdtEndPr>
        <w:rPr>
          <w:rFonts w:ascii="Times New Roman" w:hAnsi="Times New Roman" w:eastAsia="宋体" w:cs="Times New Roman"/>
          <w:b w:val="0"/>
          <w:sz w:val="40"/>
          <w:szCs w:val="28"/>
          <w:lang w:val="zh-CN"/>
        </w:rPr>
      </w:sdtEndPr>
      <w:sdtContent>
        <w:p>
          <w:pPr>
            <w:pStyle w:val="11"/>
            <w:tabs>
              <w:tab w:val="right" w:leader="dot" w:pos="8296"/>
            </w:tabs>
            <w:rPr>
              <w:rFonts w:ascii="Times New Roman" w:hAnsi="Times New Roman" w:cs="Times New Roman"/>
              <w:sz w:val="28"/>
            </w:rPr>
          </w:pPr>
          <w:r>
            <w:rPr>
              <w:rFonts w:ascii="Times New Roman" w:hAnsi="Times New Roman" w:eastAsia="宋体" w:cs="Times New Roman"/>
              <w:b/>
              <w:sz w:val="180"/>
              <w:szCs w:val="28"/>
            </w:rPr>
            <w:fldChar w:fldCharType="begin"/>
          </w:r>
          <w:r>
            <w:rPr>
              <w:rFonts w:ascii="Times New Roman" w:hAnsi="Times New Roman" w:eastAsia="宋体" w:cs="Times New Roman"/>
              <w:sz w:val="180"/>
              <w:szCs w:val="28"/>
            </w:rPr>
            <w:instrText xml:space="preserve"> TOC \o "1-3" \h \z \u </w:instrText>
          </w:r>
          <w:r>
            <w:rPr>
              <w:rFonts w:ascii="Times New Roman" w:hAnsi="Times New Roman" w:eastAsia="宋体" w:cs="Times New Roman"/>
              <w:b/>
              <w:sz w:val="180"/>
              <w:szCs w:val="28"/>
            </w:rPr>
            <w:fldChar w:fldCharType="separate"/>
          </w:r>
          <w:r>
            <w:fldChar w:fldCharType="begin"/>
          </w:r>
          <w:r>
            <w:instrText xml:space="preserve"> HYPERLINK \l "_Toc230945492" </w:instrText>
          </w:r>
          <w:r>
            <w:fldChar w:fldCharType="separate"/>
          </w:r>
          <w:r>
            <w:rPr>
              <w:rStyle w:val="20"/>
              <w:rFonts w:ascii="Times New Roman" w:hAnsi="Times New Roman" w:cs="Times New Roman"/>
              <w:sz w:val="28"/>
            </w:rPr>
            <w:t>【思政建设】</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_Toc230945492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"_Toc230945493"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光明日报：充分发挥红色艺术作品育人效能</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_Toc230945493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"_Toc230945494"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中国青年报：课程思政要从</w:t>
          </w:r>
          <w:r>
            <w:rPr>
              <w:rStyle w:val="20"/>
              <w:rFonts w:hint="eastAsia" w:ascii="Times New Roman" w:hAnsi="Times New Roman" w:cs="Times New Roman" w:eastAsiaTheme="majorEastAsia"/>
              <w:sz w:val="28"/>
            </w:rPr>
            <w:t>“有形覆盖”迈向“有效融入”</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_Toc230945494 \h </w:instrText>
          </w:r>
          <w:r>
            <w:rPr>
              <w:rFonts w:ascii="Times New Roman" w:hAnsi="Times New Roman" w:cs="Times New Roman"/>
              <w:sz w:val="28"/>
            </w:rPr>
            <w:fldChar w:fldCharType="separate"/>
          </w:r>
          <w:r>
            <w:rPr>
              <w:rFonts w:ascii="Times New Roman" w:hAnsi="Times New Roman" w:cs="Times New Roman"/>
              <w:sz w:val="28"/>
            </w:rPr>
            <w:t>4</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"_Toc230945495" </w:instrText>
          </w:r>
          <w:r>
            <w:fldChar w:fldCharType="separate"/>
          </w:r>
          <w:r>
            <w:rPr>
              <w:rStyle w:val="20"/>
              <w:rFonts w:ascii="Times New Roman" w:hAnsi="Times New Roman" w:cs="Times New Roman"/>
              <w:sz w:val="28"/>
            </w:rPr>
            <w:t>【教育要闻】</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_Toc230945495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"_Toc230945496"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全国政协召开</w:t>
          </w:r>
          <w:r>
            <w:rPr>
              <w:rStyle w:val="20"/>
              <w:rFonts w:hint="eastAsia" w:ascii="Times New Roman" w:hAnsi="Times New Roman" w:cs="Times New Roman" w:eastAsiaTheme="majorEastAsia"/>
              <w:sz w:val="28"/>
            </w:rPr>
            <w:t>“一体推进教育科技人才发展”</w:t>
          </w:r>
          <w:r>
            <w:rPr>
              <w:rStyle w:val="20"/>
              <w:rFonts w:ascii="Times New Roman" w:hAnsi="Times New Roman" w:cs="Times New Roman" w:eastAsiaTheme="majorEastAsia"/>
              <w:sz w:val="28"/>
            </w:rPr>
            <w:t>专题协商会</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_Toc230945496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"_Toc230945497"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加快推进高水平应用型高校建设</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_Toc230945497 \h </w:instrText>
          </w:r>
          <w:r>
            <w:rPr>
              <w:rFonts w:ascii="Times New Roman" w:hAnsi="Times New Roman" w:cs="Times New Roman"/>
              <w:sz w:val="28"/>
            </w:rPr>
            <w:fldChar w:fldCharType="separate"/>
          </w:r>
          <w:r>
            <w:rPr>
              <w:rFonts w:ascii="Times New Roman" w:hAnsi="Times New Roman" w:cs="Times New Roman"/>
              <w:sz w:val="28"/>
            </w:rPr>
            <w:t>8</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"_Toc230945498" </w:instrText>
          </w:r>
          <w:r>
            <w:fldChar w:fldCharType="separate"/>
          </w:r>
          <w:r>
            <w:rPr>
              <w:rStyle w:val="20"/>
              <w:rFonts w:ascii="Times New Roman" w:hAnsi="Times New Roman" w:cs="Times New Roman"/>
              <w:sz w:val="28"/>
            </w:rPr>
            <w:t>【升大动态】</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_Toc230945498 \h </w:instrText>
          </w:r>
          <w:r>
            <w:rPr>
              <w:rFonts w:ascii="Times New Roman" w:hAnsi="Times New Roman" w:cs="Times New Roman"/>
              <w:sz w:val="28"/>
            </w:rPr>
            <w:fldChar w:fldCharType="separate"/>
          </w:r>
          <w:r>
            <w:rPr>
              <w:rFonts w:ascii="Times New Roman" w:hAnsi="Times New Roman" w:cs="Times New Roman"/>
              <w:sz w:val="28"/>
            </w:rPr>
            <w:t>12</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"_Toc230945499"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淮安大学正式启用新校名校徽</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_Toc230945499 \h </w:instrText>
          </w:r>
          <w:r>
            <w:rPr>
              <w:rFonts w:ascii="Times New Roman" w:hAnsi="Times New Roman" w:cs="Times New Roman"/>
              <w:sz w:val="28"/>
            </w:rPr>
            <w:fldChar w:fldCharType="separate"/>
          </w:r>
          <w:r>
            <w:rPr>
              <w:rFonts w:ascii="Times New Roman" w:hAnsi="Times New Roman" w:cs="Times New Roman"/>
              <w:sz w:val="28"/>
            </w:rPr>
            <w:t>12</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"_Toc230945500" </w:instrText>
          </w:r>
          <w:r>
            <w:fldChar w:fldCharType="separate"/>
          </w:r>
          <w:r>
            <w:rPr>
              <w:rStyle w:val="20"/>
              <w:rFonts w:ascii="Times New Roman" w:hAnsi="Times New Roman" w:cs="Times New Roman"/>
              <w:sz w:val="28"/>
            </w:rPr>
            <w:t>【院校扫描】</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_Toc230945500 \h </w:instrText>
          </w:r>
          <w:r>
            <w:rPr>
              <w:rFonts w:ascii="Times New Roman" w:hAnsi="Times New Roman" w:cs="Times New Roman"/>
              <w:sz w:val="28"/>
            </w:rPr>
            <w:fldChar w:fldCharType="separate"/>
          </w:r>
          <w:r>
            <w:rPr>
              <w:rFonts w:ascii="Times New Roman" w:hAnsi="Times New Roman" w:cs="Times New Roman"/>
              <w:sz w:val="28"/>
            </w:rPr>
            <w:t>13</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"_Toc230945501"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河南科技学院：</w:t>
          </w:r>
          <w:r>
            <w:rPr>
              <w:rStyle w:val="20"/>
              <w:rFonts w:hint="eastAsia" w:ascii="Times New Roman" w:hAnsi="Times New Roman" w:cs="Times New Roman" w:eastAsiaTheme="majorEastAsia"/>
              <w:sz w:val="28"/>
            </w:rPr>
            <w:t>“三融”</w:t>
          </w:r>
          <w:r>
            <w:rPr>
              <w:rStyle w:val="20"/>
              <w:rFonts w:ascii="Times New Roman" w:hAnsi="Times New Roman" w:cs="Times New Roman" w:eastAsiaTheme="majorEastAsia"/>
              <w:sz w:val="28"/>
            </w:rPr>
            <w:t>共振 赋能人才培养与产业发展</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_Toc230945501 \h </w:instrText>
          </w:r>
          <w:r>
            <w:rPr>
              <w:rFonts w:ascii="Times New Roman" w:hAnsi="Times New Roman" w:cs="Times New Roman"/>
              <w:sz w:val="28"/>
            </w:rPr>
            <w:fldChar w:fldCharType="separate"/>
          </w:r>
          <w:r>
            <w:rPr>
              <w:rFonts w:ascii="Times New Roman" w:hAnsi="Times New Roman" w:cs="Times New Roman"/>
              <w:sz w:val="28"/>
            </w:rPr>
            <w:t>13</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"_Toc230945502"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苏州工学院：专业</w:t>
          </w:r>
          <w:r>
            <w:rPr>
              <w:rStyle w:val="20"/>
              <w:rFonts w:hint="eastAsia" w:ascii="Times New Roman" w:hAnsi="Times New Roman" w:cs="Times New Roman" w:eastAsiaTheme="majorEastAsia"/>
              <w:sz w:val="28"/>
            </w:rPr>
            <w:t>“种”进产业里 人才“长”</w:t>
          </w:r>
          <w:r>
            <w:rPr>
              <w:rStyle w:val="20"/>
              <w:rFonts w:ascii="Times New Roman" w:hAnsi="Times New Roman" w:cs="Times New Roman" w:eastAsiaTheme="majorEastAsia"/>
              <w:sz w:val="28"/>
            </w:rPr>
            <w:t>在产线旁</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_Toc230945502 \h </w:instrText>
          </w:r>
          <w:r>
            <w:rPr>
              <w:rFonts w:ascii="Times New Roman" w:hAnsi="Times New Roman" w:cs="Times New Roman"/>
              <w:sz w:val="28"/>
            </w:rPr>
            <w:fldChar w:fldCharType="separate"/>
          </w:r>
          <w:r>
            <w:rPr>
              <w:rFonts w:ascii="Times New Roman" w:hAnsi="Times New Roman" w:cs="Times New Roman"/>
              <w:sz w:val="28"/>
            </w:rPr>
            <w:t>16</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"_Toc230945503" </w:instrText>
          </w:r>
          <w:r>
            <w:fldChar w:fldCharType="separate"/>
          </w:r>
          <w:r>
            <w:rPr>
              <w:rStyle w:val="20"/>
              <w:rFonts w:ascii="Times New Roman" w:hAnsi="Times New Roman" w:cs="Times New Roman"/>
              <w:sz w:val="28"/>
            </w:rPr>
            <w:t>【转型探索】</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_Toc230945503 \h </w:instrText>
          </w:r>
          <w:r>
            <w:rPr>
              <w:rFonts w:ascii="Times New Roman" w:hAnsi="Times New Roman" w:cs="Times New Roman"/>
              <w:sz w:val="28"/>
            </w:rPr>
            <w:fldChar w:fldCharType="separate"/>
          </w:r>
          <w:r>
            <w:rPr>
              <w:rFonts w:ascii="Times New Roman" w:hAnsi="Times New Roman" w:cs="Times New Roman"/>
              <w:sz w:val="28"/>
            </w:rPr>
            <w:t>18</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pPr>
          <w:r>
            <w:fldChar w:fldCharType="begin"/>
          </w:r>
          <w:r>
            <w:instrText xml:space="preserve"> HYPERLINK \l "_Toc230945504"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中国青年报：应用型大学需三大系统性</w:t>
          </w:r>
          <w:r>
            <w:rPr>
              <w:rStyle w:val="20"/>
              <w:rFonts w:hint="eastAsia" w:ascii="Times New Roman" w:hAnsi="Times New Roman" w:cs="Times New Roman" w:eastAsiaTheme="majorEastAsia"/>
              <w:sz w:val="28"/>
            </w:rPr>
            <w:t>“重塑”</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_Toc230945504 \h </w:instrText>
          </w:r>
          <w:r>
            <w:rPr>
              <w:rFonts w:ascii="Times New Roman" w:hAnsi="Times New Roman" w:cs="Times New Roman"/>
              <w:sz w:val="28"/>
            </w:rPr>
            <w:fldChar w:fldCharType="separate"/>
          </w:r>
          <w:r>
            <w:rPr>
              <w:rFonts w:ascii="Times New Roman" w:hAnsi="Times New Roman" w:cs="Times New Roman"/>
              <w:sz w:val="28"/>
            </w:rPr>
            <w:t>18</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snapToGrid w:val="0"/>
            <w:spacing w:line="500" w:lineRule="exact"/>
            <w:rPr>
              <w:rFonts w:ascii="Times New Roman" w:hAnsi="Times New Roman" w:eastAsia="宋体" w:cs="Times New Roman"/>
              <w:sz w:val="40"/>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180"/>
              <w:szCs w:val="28"/>
              <w:lang w:val="zh-CN"/>
            </w:rPr>
            <w:fldChar w:fldCharType="end"/>
          </w:r>
        </w:p>
      </w:sdtContent>
    </w:sdt>
    <w:p>
      <w:pPr>
        <w:pStyle w:val="40"/>
        <w:rPr>
          <w:rFonts w:ascii="Times New Roman" w:hAnsi="Times New Roman"/>
        </w:rPr>
      </w:pPr>
      <w:bookmarkStart w:id="0" w:name="OLE_LINK3"/>
      <w:bookmarkStart w:id="1" w:name="_Toc230945492"/>
      <w:r>
        <w:rPr>
          <w:rFonts w:hint="eastAsia" w:ascii="Times New Roman" w:hAnsi="Times New Roman"/>
        </w:rPr>
        <w:t>【思政建设】</w:t>
      </w:r>
      <w:bookmarkEnd w:id="0"/>
      <w:bookmarkEnd w:id="1"/>
    </w:p>
    <w:p>
      <w:pPr>
        <w:pStyle w:val="25"/>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2" w:name="_Toc230945493"/>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光明日报：充分发挥红色艺术作品育人效能</w:t>
      </w:r>
      <w:bookmarkEnd w:id="2"/>
    </w:p>
    <w:p>
      <w:pPr>
        <w:pStyle w:val="25"/>
        <w:rPr>
          <w:rFonts w:ascii="Times New Roman" w:hAnsi="Times New Roman"/>
        </w:rPr>
      </w:pPr>
      <w:r>
        <w:rPr>
          <w:rFonts w:hint="eastAsia" w:ascii="Times New Roman" w:hAnsi="Times New Roman"/>
        </w:rPr>
        <w:t>习近平总书记强调，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优秀红色艺术作品是红色文化的重要载体，集中体现了政治导向、思想深度和艺术表现的有机统一，在筑牢信仰根基、赓续红色基因、培养担当民族复兴大任的时代新人方面具有重要价值。将红色艺术作品融入思政课教学，既是落实立德树人根本任务、培育时代新人的重要路径，也是提升高校思政课教育质量的重要方式，更是以文化人、以美育人的创新举措。</w:t>
      </w:r>
    </w:p>
    <w:p>
      <w:pPr>
        <w:pStyle w:val="25"/>
        <w:ind w:firstLine="562"/>
        <w:rPr>
          <w:rFonts w:ascii="Times New Roman" w:hAnsi="Times New Roman"/>
          <w:b/>
          <w:bCs/>
        </w:rPr>
      </w:pPr>
      <w:r>
        <w:rPr>
          <w:rFonts w:hint="eastAsia" w:ascii="Times New Roman" w:hAnsi="Times New Roman"/>
          <w:b/>
          <w:bCs/>
        </w:rPr>
        <w:t>红色艺术融入思政课教学要把准方向</w:t>
      </w:r>
    </w:p>
    <w:p>
      <w:pPr>
        <w:pStyle w:val="25"/>
        <w:rPr>
          <w:rFonts w:ascii="Times New Roman" w:hAnsi="Times New Roman"/>
        </w:rPr>
      </w:pPr>
      <w:r>
        <w:rPr>
          <w:rFonts w:hint="eastAsia" w:ascii="Times New Roman" w:hAnsi="Times New Roman"/>
        </w:rPr>
        <w:t>推动红色艺术融入思政课教学，要用习近平新时代中国特色社会主义思想铸魂育人，引导学生增强爱国情、强国志、报国行，实现知、情、意、行的统一，防止出现“浅表化”“娱乐化”倾向。</w:t>
      </w:r>
    </w:p>
    <w:p>
      <w:pPr>
        <w:pStyle w:val="25"/>
        <w:rPr>
          <w:rFonts w:ascii="Times New Roman" w:hAnsi="Times New Roman"/>
        </w:rPr>
      </w:pPr>
      <w:r>
        <w:rPr>
          <w:rFonts w:hint="eastAsia" w:ascii="Times New Roman" w:hAnsi="Times New Roman"/>
        </w:rPr>
        <w:t>坚定价值立场。艺术作品天然具有趣味性，但思政课所要激发的是崇高的精神信仰与深厚的家国情感，而非肤浅的感官刺激或短暂的娱乐体验。要警惕过度追求趣味性而对优秀红色作品随意调侃、错误解读等行为，避免消解思政课堂的严肃性与价值引领功能。</w:t>
      </w:r>
    </w:p>
    <w:p>
      <w:pPr>
        <w:pStyle w:val="25"/>
        <w:rPr>
          <w:rFonts w:ascii="Times New Roman" w:hAnsi="Times New Roman"/>
        </w:rPr>
      </w:pPr>
      <w:r>
        <w:rPr>
          <w:rFonts w:hint="eastAsia" w:ascii="Times New Roman" w:hAnsi="Times New Roman"/>
        </w:rPr>
        <w:t>坚持历史本真。优秀红色艺术作品必须植根历史事实，在艺术化呈现的同时，始终坚守历史真实原则。要建立严格的内容审核和监督机制，健全风险隐患感知发现机制，警惕借艺术之名进行碎片化呈现、虚无化历史等倾向。</w:t>
      </w:r>
    </w:p>
    <w:p>
      <w:pPr>
        <w:pStyle w:val="25"/>
        <w:rPr>
          <w:rFonts w:ascii="Times New Roman" w:hAnsi="Times New Roman"/>
        </w:rPr>
      </w:pPr>
      <w:r>
        <w:rPr>
          <w:rFonts w:hint="eastAsia" w:ascii="Times New Roman" w:hAnsi="Times New Roman"/>
        </w:rPr>
        <w:t>深挖精神内核。要科学设计涵盖体验感知、批判反思和价值内化等环节的教学模式，结合校史馆、展览馆、博物馆等开展浸润式教学，引导学生从感官体验走向理性思辨。</w:t>
      </w:r>
    </w:p>
    <w:p>
      <w:pPr>
        <w:pStyle w:val="25"/>
        <w:rPr>
          <w:rFonts w:ascii="Times New Roman" w:hAnsi="Times New Roman"/>
        </w:rPr>
      </w:pPr>
      <w:r>
        <w:rPr>
          <w:rFonts w:hint="eastAsia" w:ascii="Times New Roman" w:hAnsi="Times New Roman"/>
        </w:rPr>
        <w:t>培育师资队伍。多渠道整合师资力量，持续提升教师审美素质和理论素养，使其既具备解读作品艺术形式的“审美眼”，能精准分析作品的艺术魅力；更具备透视作品思想内涵的“智思脑”，能在学生情感共鸣处进行精准的价值引导与理论提升。</w:t>
      </w:r>
    </w:p>
    <w:p>
      <w:pPr>
        <w:pStyle w:val="25"/>
        <w:ind w:firstLine="562"/>
        <w:rPr>
          <w:rFonts w:ascii="Times New Roman" w:hAnsi="Times New Roman"/>
          <w:b/>
          <w:bCs/>
        </w:rPr>
      </w:pPr>
      <w:r>
        <w:rPr>
          <w:rFonts w:hint="eastAsia" w:ascii="Times New Roman" w:hAnsi="Times New Roman"/>
          <w:b/>
          <w:bCs/>
        </w:rPr>
        <w:t>红色艺术融入思政课教学要触动心灵</w:t>
      </w:r>
    </w:p>
    <w:p>
      <w:pPr>
        <w:pStyle w:val="25"/>
        <w:rPr>
          <w:rFonts w:ascii="Times New Roman" w:hAnsi="Times New Roman"/>
        </w:rPr>
      </w:pPr>
      <w:r>
        <w:rPr>
          <w:rFonts w:hint="eastAsia" w:ascii="Times New Roman" w:hAnsi="Times New Roman"/>
        </w:rPr>
        <w:t>优秀红色艺术作品能显著增强思政课堂的感染力与引领力，但仍面临诸多挑战：能够满足当代青年审美与心理特征的优秀红色艺术作品供给不足，教学内容更新滞后于学生认知发展的实际需求；红色艺术所特有的形象化、叙事性与情境化优势未能有效转化为思政课堂的教学资源，使得学生在课堂中难以经由感性共鸣走向价值认同，等等。</w:t>
      </w:r>
    </w:p>
    <w:p>
      <w:pPr>
        <w:pStyle w:val="25"/>
        <w:rPr>
          <w:rFonts w:ascii="Times New Roman" w:hAnsi="Times New Roman"/>
        </w:rPr>
      </w:pPr>
      <w:r>
        <w:rPr>
          <w:rFonts w:hint="eastAsia" w:ascii="Times New Roman" w:hAnsi="Times New Roman"/>
        </w:rPr>
        <w:t>推动红色艺术融入思政课教学，应充分挖掘其在形象化、叙事性与情境化等方面的独特表达优势，以艺术审美弥补传统教学不足，推动思政课实现理论深度、情感温度与实践力度的有机统一。</w:t>
      </w:r>
    </w:p>
    <w:p>
      <w:pPr>
        <w:pStyle w:val="25"/>
        <w:rPr>
          <w:rFonts w:ascii="Times New Roman" w:hAnsi="Times New Roman"/>
        </w:rPr>
      </w:pPr>
      <w:r>
        <w:rPr>
          <w:rFonts w:hint="eastAsia" w:ascii="Times New Roman" w:hAnsi="Times New Roman"/>
        </w:rPr>
        <w:t>推进审美转译，实现从形式感知到意义建构的认知转化。学生对优秀红色艺术作品的初始感知，本质上是对审美符号的感性输入。在审美转译过程中，需将作品的微观艺术叙事与宏大历史语境、价值体系相联系，使感性的形式感知升华为理性的意义认知，完成从“看见作品表象”到“读懂精神内核”的认知跃迁。</w:t>
      </w:r>
    </w:p>
    <w:p>
      <w:pPr>
        <w:pStyle w:val="25"/>
        <w:rPr>
          <w:rFonts w:ascii="Times New Roman" w:hAnsi="Times New Roman"/>
        </w:rPr>
      </w:pPr>
      <w:r>
        <w:rPr>
          <w:rFonts w:hint="eastAsia" w:ascii="Times New Roman" w:hAnsi="Times New Roman"/>
        </w:rPr>
        <w:t>重构情感联结，实现从情感触动到价值共鸣的精神内化。当学生以审美主体的身份介入作品叙事，便会在历史情境与现实语境的交汇中，唤醒内心的价值共识与情感认同。</w:t>
      </w:r>
    </w:p>
    <w:p>
      <w:pPr>
        <w:pStyle w:val="25"/>
        <w:rPr>
          <w:rFonts w:ascii="Times New Roman" w:hAnsi="Times New Roman"/>
        </w:rPr>
      </w:pPr>
      <w:r>
        <w:rPr>
          <w:rFonts w:hint="eastAsia" w:ascii="Times New Roman" w:hAnsi="Times New Roman"/>
        </w:rPr>
        <w:t>外化价值行为，实现从价值认同到行为践行的知行合一。当优秀红色艺术作品所承载的精神内核内化为个体的价值观念，便会形成稳定的行为导向机制。这体现为个体基于价值自觉对现实生活的主动观照、能动回应，推动其将内在认同转化为持续的行为自觉，完成从“精神共鸣”到“实践躬行”的闭环建构。</w:t>
      </w:r>
    </w:p>
    <w:p>
      <w:pPr>
        <w:pStyle w:val="25"/>
        <w:ind w:firstLine="562"/>
        <w:rPr>
          <w:rFonts w:ascii="Times New Roman" w:hAnsi="Times New Roman"/>
          <w:b/>
          <w:bCs/>
        </w:rPr>
      </w:pPr>
      <w:r>
        <w:rPr>
          <w:rFonts w:hint="eastAsia" w:ascii="Times New Roman" w:hAnsi="Times New Roman"/>
          <w:b/>
          <w:bCs/>
        </w:rPr>
        <w:t>红色艺术融入思政课教学要融会贯通</w:t>
      </w:r>
    </w:p>
    <w:p>
      <w:pPr>
        <w:pStyle w:val="25"/>
        <w:rPr>
          <w:rFonts w:ascii="Times New Roman" w:hAnsi="Times New Roman"/>
        </w:rPr>
      </w:pPr>
      <w:r>
        <w:rPr>
          <w:rFonts w:hint="eastAsia" w:ascii="Times New Roman" w:hAnsi="Times New Roman"/>
        </w:rPr>
        <w:t>要使优秀红色艺术作品在思政课中持续焕发思想光芒，就应将其作为教学主客体之间的认知媒介，有机统合其政治性、艺术性、思想性与实践性，打造“认知理解—情感共鸣—价值认同—行为践行”的完整育人链条。</w:t>
      </w:r>
    </w:p>
    <w:p>
      <w:pPr>
        <w:pStyle w:val="25"/>
        <w:rPr>
          <w:rFonts w:ascii="Times New Roman" w:hAnsi="Times New Roman"/>
        </w:rPr>
      </w:pPr>
      <w:r>
        <w:rPr>
          <w:rFonts w:hint="eastAsia" w:ascii="Times New Roman" w:hAnsi="Times New Roman"/>
        </w:rPr>
        <w:t>以政治性铸魂，在提升站位中牢记课程定位。作品的选择要把握政治属性，建立严格的作品筛选机制，精细化、标准化推进优秀红色艺术作品资源库建设，选好一批接地气、传得开、用得好的红色艺术经典作品。要深挖红色作品的育人资源，引导学生剖析作品如何通过艺术手段具象化表达党的理念、人民立场与历史选择，筑牢思想根基。</w:t>
      </w:r>
    </w:p>
    <w:p>
      <w:pPr>
        <w:pStyle w:val="25"/>
        <w:rPr>
          <w:rFonts w:ascii="Times New Roman" w:hAnsi="Times New Roman"/>
        </w:rPr>
      </w:pPr>
      <w:r>
        <w:rPr>
          <w:rFonts w:hint="eastAsia" w:ascii="Times New Roman" w:hAnsi="Times New Roman"/>
        </w:rPr>
        <w:t>以艺术性触情，在沉浸体验中把握育人内涵。优秀红色艺术作品的审美价值，既体现在经典文本的艺术表现中，也蕴含在红色主题短视频、沉浸式话剧等创新表达里。要增强交互性，运用VR技术、虚拟仿真等手段搭建沉浸式教学场景，开展动态展播、红色画作临摹等互动活动，引导学生感知作品的艺术张力，组织小组研讨分享审美体悟，深入领会优秀红色艺术作品的时代内涵和价值意蕴。</w:t>
      </w:r>
    </w:p>
    <w:p>
      <w:pPr>
        <w:pStyle w:val="25"/>
        <w:rPr>
          <w:rFonts w:ascii="Times New Roman" w:hAnsi="Times New Roman"/>
        </w:rPr>
      </w:pPr>
      <w:r>
        <w:rPr>
          <w:rFonts w:hint="eastAsia" w:ascii="Times New Roman" w:hAnsi="Times New Roman"/>
        </w:rPr>
        <w:t>以思想性固本，在思辨对话中强化精神认同。运用弹幕互动、翻转课堂等手段增强教学过程的思辨性，围绕优秀红色艺术作品历史背景、创作初衷与精神内核设置议题，组织学生对比不同时期同类作品的叙事手法与价值表达，引导其结合当代社会现实，探讨作品背后蕴含的时代意义，通过观点碰撞深化认知，以理性辨析坚定价值立场，让红色精神内化为学生的精神支柱。</w:t>
      </w:r>
    </w:p>
    <w:p>
      <w:pPr>
        <w:pStyle w:val="25"/>
        <w:rPr>
          <w:rFonts w:ascii="Times New Roman" w:hAnsi="Times New Roman"/>
        </w:rPr>
      </w:pPr>
      <w:r>
        <w:rPr>
          <w:rFonts w:hint="eastAsia" w:ascii="Times New Roman" w:hAnsi="Times New Roman"/>
        </w:rPr>
        <w:t>以实践性砺行，在实干笃行中检验教学成效。坚持项目化、品牌化运作，持续拓展乡村美育、艺术疗愈等创新活动形式，不断丰富美育浸润路径。建立创作、展演、服务相结合的实践档案，追踪社会实践的教学效果，不断改进调整教学方式方法。创新打造“AI+红色艺术作品+思政”智慧系统，开发高校红色艺术作品思政育人智能体，以学生喜闻乐见的形式和语言进行教育教学。</w:t>
      </w:r>
    </w:p>
    <w:p>
      <w:pPr>
        <w:pStyle w:val="25"/>
        <w:wordWrap w:val="0"/>
        <w:rPr>
          <w:rFonts w:ascii="Times New Roman" w:hAnsi="Times New Roman"/>
        </w:rPr>
      </w:pPr>
      <w:r>
        <w:rPr>
          <w:rFonts w:hint="eastAsia" w:ascii="Times New Roman" w:hAnsi="Times New Roman"/>
        </w:rPr>
        <w:t>（摘编自《光明日报》202</w:t>
      </w:r>
      <w:r>
        <w:rPr>
          <w:rFonts w:ascii="Times New Roman" w:hAnsi="Times New Roman"/>
        </w:rPr>
        <w:t>6</w:t>
      </w:r>
      <w:r>
        <w:rPr>
          <w:rFonts w:hint="eastAsia" w:ascii="Times New Roman" w:hAnsi="Times New Roman"/>
        </w:rPr>
        <w:t>年</w:t>
      </w:r>
      <w:r>
        <w:rPr>
          <w:rFonts w:ascii="Times New Roman" w:hAnsi="Times New Roman"/>
        </w:rPr>
        <w:t>0</w:t>
      </w:r>
      <w:r>
        <w:rPr>
          <w:rFonts w:hint="eastAsia" w:ascii="Times New Roman" w:hAnsi="Times New Roman"/>
        </w:rPr>
        <w:t>5月05日第0</w:t>
      </w:r>
      <w:r>
        <w:rPr>
          <w:rFonts w:ascii="Times New Roman" w:hAnsi="Times New Roman"/>
        </w:rPr>
        <w:t>7</w:t>
      </w:r>
      <w:r>
        <w:rPr>
          <w:rFonts w:hint="eastAsia" w:ascii="Times New Roman" w:hAnsi="Times New Roman"/>
        </w:rPr>
        <w:t>版）</w:t>
      </w:r>
    </w:p>
    <w:p>
      <w:pPr>
        <w:pStyle w:val="25"/>
        <w:wordWrap w:val="0"/>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3" w:name="_Toc230945494"/>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中国青年报：课程思政要从“有形覆盖”迈向“有效融入”</w:t>
      </w:r>
      <w:bookmarkEnd w:id="3"/>
    </w:p>
    <w:p>
      <w:pPr>
        <w:pStyle w:val="25"/>
        <w:rPr>
          <w:rFonts w:ascii="Times New Roman" w:hAnsi="Times New Roman"/>
        </w:rPr>
      </w:pPr>
      <w:bookmarkStart w:id="4" w:name="OLE_LINK4"/>
      <w:r>
        <w:rPr>
          <w:rFonts w:hint="eastAsia" w:ascii="Times New Roman" w:hAnsi="Times New Roman"/>
        </w:rPr>
        <w:t>课程思政是落实立德树人根本任务的重要抓手，也是“大思政课”格局中不可或缺的育人基石。《教育强国建设规划纲要（2024-2035年）》把新时代立德树人工程摆在教育强国建设首要位置，明确要求将思想政治教育贯穿各学科体系、教学体系、教材体系、管理体系，为课程思政深化推进标定了方向。开展课程思政，关键在于让不同学科找准育人定位、彰显育人特色，让各类课程与思政课同向同行、形成协同效应。</w:t>
      </w:r>
    </w:p>
    <w:p>
      <w:pPr>
        <w:pStyle w:val="25"/>
        <w:rPr>
          <w:rFonts w:ascii="Times New Roman" w:hAnsi="Times New Roman"/>
        </w:rPr>
      </w:pPr>
      <w:r>
        <w:rPr>
          <w:rFonts w:hint="eastAsia" w:ascii="Times New Roman" w:hAnsi="Times New Roman"/>
        </w:rPr>
        <w:t>当前，课程思政已基本实现“课课有思政”的全覆盖，但“覆盖力”向“融入度”转化仍显不足，不少课堂存在“硬融入”“贴标签”现象。问题的根源就在于忽视学科内在差异，用同一标准衡量不同学科的育人逻辑。不同学科有着不同的知识体系、思维方法和育人传统，开展课程思政的价值导向和实践策略应有不同要求。</w:t>
      </w:r>
    </w:p>
    <w:p>
      <w:pPr>
        <w:pStyle w:val="25"/>
        <w:rPr>
          <w:rFonts w:ascii="Times New Roman" w:hAnsi="Times New Roman"/>
        </w:rPr>
      </w:pPr>
      <w:r>
        <w:rPr>
          <w:rFonts w:hint="eastAsia" w:ascii="Times New Roman" w:hAnsi="Times New Roman"/>
        </w:rPr>
        <w:t>从价值导向来看，工科立足大国重器与工程实践，厚植科技报国志向；理科依托求真探究与方法训练，涵养严谨求实品格；人文社科聚焦经世致用与理论思辨，讲透中国道路的逻辑力量；医学紧扣生命至上与临床坚守，培育医者仁心情怀。这些价值特质各有侧重、各具特色，不能相互替代，更不应被同一套话语所覆盖。</w:t>
      </w:r>
    </w:p>
    <w:p>
      <w:pPr>
        <w:pStyle w:val="25"/>
        <w:rPr>
          <w:rFonts w:ascii="Times New Roman" w:hAnsi="Times New Roman"/>
        </w:rPr>
      </w:pPr>
      <w:r>
        <w:rPr>
          <w:rFonts w:hint="eastAsia" w:ascii="Times New Roman" w:hAnsi="Times New Roman"/>
        </w:rPr>
        <w:t>从实践策略来看，不同学科的知识融入路径各有特点。相较而言，人文社科类课程与思想政治教育天然联系更为紧密，思政资源容易与专业知识有机衔接；而理工科课程以学科原理和工程技术为主体内容，思政元素融入难度较大，需要更为精心和系统地设计。忽视学科特点的课程设计，会导致课程效果参差不齐，部分课程难以让学生具有获得感。例如，西南交通大学的“桥梁工程”课程，从赵州桥到港珠澳大桥，把古代工匠精神和现代科学家精神贯穿教学全过程，学生在学习结构力学的同时，自然领悟了中国桥梁从追赶到领跑的历程；而有的课程讲授同样的桥梁知识，仅在课件末页加一句“为祖国建设学好本领”，两者育人效果高下立判。</w:t>
      </w:r>
    </w:p>
    <w:p>
      <w:pPr>
        <w:pStyle w:val="25"/>
        <w:rPr>
          <w:rFonts w:ascii="Times New Roman" w:hAnsi="Times New Roman"/>
        </w:rPr>
      </w:pPr>
      <w:r>
        <w:rPr>
          <w:rFonts w:hint="eastAsia" w:ascii="Times New Roman" w:hAnsi="Times New Roman"/>
        </w:rPr>
        <w:t>学科知识基因不同，育人路径理应各有侧重。好的课程思政应当尊重学科的“脾气”、顺应学科的“特质”，让思政元素从学科脉络中自然生长。推动课程思政从“有形覆盖”迈向“有效融入”，必须尊重学科差异规律，在专业思政框架下，从理念更新、内容深耕、方法创新和制度保障四个层面协同发力。</w:t>
      </w:r>
    </w:p>
    <w:p>
      <w:pPr>
        <w:pStyle w:val="25"/>
        <w:rPr>
          <w:rFonts w:ascii="Times New Roman" w:hAnsi="Times New Roman"/>
        </w:rPr>
      </w:pPr>
      <w:r>
        <w:rPr>
          <w:rFonts w:hint="eastAsia" w:ascii="Times New Roman" w:hAnsi="Times New Roman"/>
        </w:rPr>
        <w:t>树牢精准理念，锚定因科施教方向。课程思政不是单门课程的单兵作战，而是专业育人体系的协同发力。要坚持以学科差异为出发点，转变“统一模板、逐课覆盖”的惯性思维，树立“因科制宜、精准融入”的育人理念。各专业立足学科定位与培养目标，将育人目标融入培养方案、教学大纲和课程考核，把价值引领细化为可落地的培养指标，使每一门课程明确方向、每一堂课精准着力。通过专业层面的系统规划，打破课程之间的壁垒，让碎片化的育人资源形成系统化的育人合力。</w:t>
      </w:r>
    </w:p>
    <w:p>
      <w:pPr>
        <w:pStyle w:val="25"/>
        <w:rPr>
          <w:rFonts w:ascii="Times New Roman" w:hAnsi="Times New Roman"/>
        </w:rPr>
      </w:pPr>
      <w:r>
        <w:rPr>
          <w:rFonts w:hint="eastAsia" w:ascii="Times New Roman" w:hAnsi="Times New Roman"/>
        </w:rPr>
        <w:t>深挖学科内涵，激活内生育人资源。学科基因是学科在长期发展过程中形成的价值理念、思维方式、精神特质与文化内涵，是课程思政最鲜活、最具说服力的素材。课程思政要让价值引领从学科内部自然“长”出来，从学科发展史、学术精神、行业伦理中挖掘鲜活素材，让价值引领与专业知识深度耦合。比如西安交通大学在讲授“工程热力学”时，教师没有额外添加思政内容，而是从热力学第二定律的发现史讲起，讲述卡诺、克劳修斯等科学家在工业革命背景下追求真理的科学精神，再过渡到我国能源结构转型中热力学理论的应用，让学生感受到学科知识本身蕴含的思想力量。</w:t>
      </w:r>
    </w:p>
    <w:p>
      <w:pPr>
        <w:pStyle w:val="25"/>
        <w:rPr>
          <w:rFonts w:ascii="Times New Roman" w:hAnsi="Times New Roman"/>
        </w:rPr>
      </w:pPr>
      <w:r>
        <w:rPr>
          <w:rFonts w:hint="eastAsia" w:ascii="Times New Roman" w:hAnsi="Times New Roman"/>
        </w:rPr>
        <w:t>创新教学方法，贯通全过程育人链条。课程思政应覆盖“课前-课中-课后”全流程，构建“课前预设、课中贯通、课后检验”的完整育人闭环。在课程设计环节，结合专业知识特点与学生认知规律，预设价值引导线索；在课堂教学环节，打破“教师主导、学生被动”的传统模式，采用案例教学、情景模拟、小组讨论等多元化教学方法，实现知识流与价值流的双向贯通。比如，有的高校在讲授专业课绪论时，不急于讲概念、公式，而是先抛出真实国家急需的工程问题，让学生分组讨论，在交流中让学生先有体会，再学知识，价值引领渗透在问题解决全过程。在课后实践环节，延伸育人链条，让学生在实践中践行价值理念、提升责任担当。</w:t>
      </w:r>
    </w:p>
    <w:p>
      <w:pPr>
        <w:pStyle w:val="25"/>
        <w:rPr>
          <w:rFonts w:ascii="Times New Roman" w:hAnsi="Times New Roman"/>
        </w:rPr>
      </w:pPr>
      <w:r>
        <w:rPr>
          <w:rFonts w:hint="eastAsia" w:ascii="Times New Roman" w:hAnsi="Times New Roman"/>
        </w:rPr>
        <w:t>完善制度体系，构建长效推进机制。课程思政的高质量发展，应建立多维度、差异化评价体系。要将学生对课程思政的获得感、专业认同和价值认同作为核心指标，同时兼顾教师的教学投入与实施效果，形成“学生评价、教师自评、同行互评、专家评审”相结合的多元评价主体体系。不同学科的评价标准也应体现差异化：工科注重考查学生在工程实践中是否形成了社会责任意识，人文社科关注学生是否提升了价值判断力，医学检验学生是否涵养了生命至上的职业伦理。通过将评价结果与教师职称评定、绩效考核挂钩，推动课程思政从“被动推进”向“主动作为”转变。</w:t>
      </w:r>
    </w:p>
    <w:p>
      <w:pPr>
        <w:pStyle w:val="25"/>
        <w:rPr>
          <w:rFonts w:ascii="Times New Roman" w:hAnsi="Times New Roman"/>
        </w:rPr>
      </w:pPr>
      <w:r>
        <w:rPr>
          <w:rFonts w:hint="eastAsia" w:ascii="Times New Roman" w:hAnsi="Times New Roman"/>
        </w:rPr>
        <w:t>建设教育强国，根基在育人；提升育人实效，关键在精准。把握学科差异、推动课程思政精准融入，既是落实立德树人根本任务的必然要求，也是服务教育强国建设的重要举措。从理念更新到内容深耕，从方法创新到制度保障，始终立足学科特质、遵循育人规律，才能让每一门课程都守好责任田、发挥出育人实效。课程思政的关键不是做加法，而是找到学科自身生长价值的那条脉络。</w:t>
      </w:r>
    </w:p>
    <w:p>
      <w:pPr>
        <w:pStyle w:val="25"/>
        <w:rPr>
          <w:rFonts w:ascii="Times New Roman" w:hAnsi="Times New Roman"/>
        </w:rPr>
      </w:pPr>
      <w:r>
        <w:rPr>
          <w:rFonts w:hint="eastAsia" w:ascii="Times New Roman" w:hAnsi="Times New Roman" w:cs="宋体"/>
        </w:rPr>
        <w:t>（摘编自《中国青年报》202</w:t>
      </w:r>
      <w:r>
        <w:rPr>
          <w:rFonts w:ascii="Times New Roman" w:hAnsi="Times New Roman" w:cs="宋体"/>
        </w:rPr>
        <w:t>6</w:t>
      </w:r>
      <w:r>
        <w:rPr>
          <w:rFonts w:hint="eastAsia" w:ascii="Times New Roman" w:hAnsi="Times New Roman" w:cs="宋体"/>
        </w:rPr>
        <w:t>年</w:t>
      </w:r>
      <w:r>
        <w:rPr>
          <w:rFonts w:ascii="Times New Roman" w:hAnsi="Times New Roman" w:cs="宋体"/>
        </w:rPr>
        <w:t>0</w:t>
      </w:r>
      <w:r>
        <w:rPr>
          <w:rFonts w:hint="eastAsia" w:ascii="Times New Roman" w:hAnsi="Times New Roman" w:cs="宋体"/>
        </w:rPr>
        <w:t>5月11日第</w:t>
      </w:r>
      <w:r>
        <w:rPr>
          <w:rFonts w:ascii="Times New Roman" w:hAnsi="Times New Roman" w:cs="宋体"/>
        </w:rPr>
        <w:t>0</w:t>
      </w:r>
      <w:r>
        <w:rPr>
          <w:rFonts w:hint="eastAsia" w:ascii="Times New Roman" w:hAnsi="Times New Roman" w:cs="宋体"/>
        </w:rPr>
        <w:t>7版）</w:t>
      </w:r>
      <w:bookmarkEnd w:id="4"/>
    </w:p>
    <w:p>
      <w:pPr>
        <w:rPr>
          <w:rFonts w:ascii="Times New Roman" w:hAnsi="Times New Roman"/>
        </w:rPr>
      </w:pPr>
      <w:r>
        <w:rPr>
          <w:rFonts w:hint="eastAsia" w:ascii="Times New Roman" w:hAnsi="Times New Roman"/>
        </w:rPr>
        <w:br w:type="page"/>
      </w:r>
    </w:p>
    <w:p>
      <w:pPr>
        <w:pStyle w:val="40"/>
        <w:rPr>
          <w:rFonts w:ascii="Times New Roman" w:hAnsi="Times New Roman"/>
        </w:rPr>
      </w:pPr>
      <w:bookmarkStart w:id="5" w:name="_Toc230945495"/>
      <w:bookmarkStart w:id="6" w:name="_Toc112870527"/>
      <w:bookmarkStart w:id="7" w:name="_Toc10614"/>
      <w:bookmarkStart w:id="8" w:name="_Hlk96953613"/>
      <w:bookmarkStart w:id="9" w:name="_Toc950"/>
      <w:r>
        <w:rPr>
          <w:rFonts w:hint="eastAsia" w:ascii="Times New Roman" w:hAnsi="Times New Roman"/>
        </w:rPr>
        <w:t>【教育要闻】</w:t>
      </w:r>
      <w:bookmarkEnd w:id="5"/>
    </w:p>
    <w:p>
      <w:pPr>
        <w:pStyle w:val="25"/>
        <w:widowControl/>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0" w:name="OLE_LINK2"/>
      <w:bookmarkStart w:id="11" w:name="_Toc230945496"/>
      <w:r>
        <w:rPr>
          <w:rFonts w:ascii="Times New Roman" w:hAnsi="Times New Roman" w:eastAsiaTheme="majorEastAsia" w:cstheme="majorEastAsia"/>
          <w:color w:val="auto"/>
        </w:rPr>
        <w:sym w:font="Wingdings" w:char="F075"/>
      </w:r>
      <w:bookmarkEnd w:id="10"/>
      <w:r>
        <w:rPr>
          <w:rFonts w:ascii="Times New Roman" w:hAnsi="Times New Roman" w:eastAsiaTheme="majorEastAsia" w:cstheme="majorEastAsia"/>
          <w:color w:val="auto"/>
        </w:rPr>
        <w:t>全国政协召开“一体推进教育科技人才发展”专题协商会</w:t>
      </w:r>
      <w:bookmarkEnd w:id="11"/>
    </w:p>
    <w:p>
      <w:pPr>
        <w:pStyle w:val="25"/>
        <w:rPr>
          <w:rFonts w:ascii="Times New Roman" w:hAnsi="Times New Roman"/>
        </w:rPr>
      </w:pPr>
      <w:r>
        <w:rPr>
          <w:rFonts w:hint="eastAsia" w:ascii="Times New Roman" w:hAnsi="Times New Roman"/>
        </w:rPr>
        <w:t>全国政协19日在京召开“一体推进教育科技人才发展”专题协商会，中共中央政治局常委、全国政协主席王沪宁出席并讲话。</w:t>
      </w:r>
    </w:p>
    <w:p>
      <w:pPr>
        <w:pStyle w:val="25"/>
        <w:rPr>
          <w:rFonts w:ascii="Times New Roman" w:hAnsi="Times New Roman"/>
        </w:rPr>
      </w:pPr>
      <w:r>
        <w:rPr>
          <w:rFonts w:hint="eastAsia" w:ascii="Times New Roman" w:hAnsi="Times New Roman"/>
        </w:rPr>
        <w:t>王沪宁表示，中共十八大以来，</w:t>
      </w:r>
      <w:r>
        <w:rPr>
          <w:rFonts w:hint="eastAsia" w:ascii="Times New Roman" w:hAnsi="Times New Roman"/>
          <w:lang w:eastAsia="zh-CN"/>
        </w:rPr>
        <w:t>以习近平同志为核心的党中央</w:t>
      </w:r>
      <w:r>
        <w:rPr>
          <w:rFonts w:hint="eastAsia" w:ascii="Times New Roman" w:hAnsi="Times New Roman"/>
        </w:rPr>
        <w:t>把教育发展、科技创新、人才培养摆在治国理政的突出位置，深入实施科教兴国战略、人才强国战略、创新驱动发展战略，围绕一体推进教育科技人才发展作出重要部署，推动教育强国、科技强国、人才强国建设迈出坚实步伐。人民政协要深入学习贯彻习近平总书记关于一体推进教育科技人才发展的重要论述，深入贯彻落实中共二十届四中全会和“十五五”规划相关部署，牢牢把握教育、科技、人才是中国式现代化的基础性、战略性支撑，聚焦建立健全教育科技人才一体推进协调机制、协同培养拔尖创新人才、完善国家战略人才发现培养使用政策机制、优化区域教育科技人才资源配置、塑造教育科技人才国际竞争新优势等重点问题，扎实做好调查研究、协商建言、民主监督工作，助力推动科技自主创新和人才自主培养。要践行委员履职“服务为民”，依托“委员科学讲堂”等开展科普工作，营造热爱科学、崇尚科学的社会氛围。</w:t>
      </w:r>
    </w:p>
    <w:p>
      <w:pPr>
        <w:pStyle w:val="25"/>
        <w:rPr>
          <w:rFonts w:ascii="Times New Roman" w:hAnsi="Times New Roman"/>
        </w:rPr>
      </w:pPr>
      <w:r>
        <w:rPr>
          <w:rFonts w:hint="eastAsia" w:ascii="Times New Roman" w:hAnsi="Times New Roman"/>
        </w:rPr>
        <w:t>近100位全国政协委员参加会议，全国政协教科卫体委员会负责同志介绍专题调研情况，22位政协委员和专家发言，围绕建立健全一体推进教育科技人才发展的协调机制，优化高等学校学科设置、创新人才培养模式，强化国家科研机构、高水平研究型大学等引领作用，深化科教融合、产教融合，</w:t>
      </w:r>
      <w:r>
        <w:rPr>
          <w:rFonts w:hint="eastAsia" w:ascii="Times New Roman" w:hAnsi="Times New Roman"/>
          <w:lang w:eastAsia="zh-CN"/>
        </w:rPr>
        <w:t>加快建设国家战略人才力量</w:t>
      </w:r>
      <w:r>
        <w:rPr>
          <w:rFonts w:hint="eastAsia" w:ascii="Times New Roman" w:hAnsi="Times New Roman"/>
        </w:rPr>
        <w:t>，培养青年科技人才，促进人才区域协调发展等协商建言。</w:t>
      </w:r>
    </w:p>
    <w:p>
      <w:pPr>
        <w:pStyle w:val="25"/>
        <w:rPr>
          <w:rFonts w:ascii="Times New Roman" w:hAnsi="Times New Roman"/>
        </w:rPr>
      </w:pPr>
      <w:r>
        <w:rPr>
          <w:rFonts w:hint="eastAsia" w:ascii="Times New Roman" w:hAnsi="Times New Roman"/>
        </w:rPr>
        <w:t>国务委员谌贻琴出席会议并讲话。她表示，在以习近平同志为核心的党中央坚强领导下，我国一体推进教育科技人才发展取得积极成效，科技创新牵引能力、教育基础支撑作用、科技创新人才竞争优势进一步增强，教育科技人才发展生态持续优化。要深入学习贯彻习近平总书记关于一体推进教育科技人才发展的重要论述，以高质量发展为目标，建立健全推进的协调机制，以高水平科研锻造高素质人才，协同推进创新型人才培养，统筹推动体制机制一体改革，着力解决制约一体发展的深层次、根本性问题，加快形成发展合力，为中国式现代化提供更强有力的支撑。</w:t>
      </w:r>
    </w:p>
    <w:p>
      <w:pPr>
        <w:pStyle w:val="25"/>
        <w:rPr>
          <w:rFonts w:ascii="Times New Roman" w:hAnsi="Times New Roman"/>
        </w:rPr>
      </w:pPr>
      <w:r>
        <w:rPr>
          <w:rFonts w:ascii="Times New Roman" w:hAnsi="Times New Roman"/>
        </w:rPr>
        <w:t>（</w:t>
      </w:r>
      <w:bookmarkStart w:id="12" w:name="OLE_LINK5"/>
      <w:r>
        <w:rPr>
          <w:rFonts w:hint="eastAsia" w:ascii="Times New Roman" w:hAnsi="Times New Roman" w:cs="宋体"/>
        </w:rPr>
        <w:t>摘编自《中国教育报》202</w:t>
      </w:r>
      <w:r>
        <w:rPr>
          <w:rFonts w:ascii="Times New Roman" w:hAnsi="Times New Roman" w:cs="宋体"/>
        </w:rPr>
        <w:t>6</w:t>
      </w:r>
      <w:r>
        <w:rPr>
          <w:rFonts w:hint="eastAsia" w:ascii="Times New Roman" w:hAnsi="Times New Roman" w:cs="宋体"/>
        </w:rPr>
        <w:t>年</w:t>
      </w:r>
      <w:r>
        <w:rPr>
          <w:rFonts w:ascii="Times New Roman" w:hAnsi="Times New Roman" w:cs="宋体"/>
        </w:rPr>
        <w:t>0</w:t>
      </w:r>
      <w:r>
        <w:rPr>
          <w:rFonts w:hint="eastAsia" w:ascii="Times New Roman" w:hAnsi="Times New Roman" w:cs="宋体"/>
        </w:rPr>
        <w:t>5月</w:t>
      </w:r>
      <w:r>
        <w:rPr>
          <w:rFonts w:ascii="Times New Roman" w:hAnsi="Times New Roman" w:cs="宋体"/>
        </w:rPr>
        <w:t>20</w:t>
      </w:r>
      <w:r>
        <w:rPr>
          <w:rFonts w:hint="eastAsia" w:ascii="Times New Roman" w:hAnsi="Times New Roman" w:cs="宋体"/>
        </w:rPr>
        <w:t>日</w:t>
      </w:r>
      <w:bookmarkEnd w:id="12"/>
      <w:r>
        <w:rPr>
          <w:rFonts w:hint="eastAsia" w:ascii="Times New Roman" w:hAnsi="Times New Roman" w:cs="宋体"/>
        </w:rPr>
        <w:t>第0</w:t>
      </w:r>
      <w:r>
        <w:rPr>
          <w:rFonts w:ascii="Times New Roman" w:hAnsi="Times New Roman" w:cs="宋体"/>
        </w:rPr>
        <w:t>1</w:t>
      </w:r>
      <w:r>
        <w:rPr>
          <w:rFonts w:hint="eastAsia" w:ascii="Times New Roman" w:hAnsi="Times New Roman" w:cs="宋体"/>
        </w:rPr>
        <w:t>版</w:t>
      </w:r>
      <w:r>
        <w:rPr>
          <w:rFonts w:ascii="Times New Roman" w:hAnsi="Times New Roman"/>
        </w:rPr>
        <w:t>）</w:t>
      </w:r>
    </w:p>
    <w:p>
      <w:pPr>
        <w:pStyle w:val="25"/>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3" w:name="_Toc230945497"/>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加快推进高水平应用型高校建设</w:t>
      </w:r>
      <w:bookmarkEnd w:id="13"/>
    </w:p>
    <w:p>
      <w:pPr>
        <w:pStyle w:val="25"/>
        <w:widowControl/>
        <w:ind w:firstLine="562"/>
        <w:rPr>
          <w:rFonts w:ascii="Times New Roman" w:hAnsi="Times New Roman"/>
          <w:b/>
        </w:rPr>
      </w:pPr>
      <w:r>
        <w:rPr>
          <w:rFonts w:hint="eastAsia" w:ascii="Times New Roman" w:hAnsi="Times New Roman"/>
          <w:b/>
        </w:rPr>
        <w:t>分类发展，意欲何为？——完善差异化发展政策体系</w:t>
      </w:r>
    </w:p>
    <w:p>
      <w:pPr>
        <w:pStyle w:val="25"/>
        <w:rPr>
          <w:rFonts w:ascii="Times New Roman" w:hAnsi="Times New Roman"/>
        </w:rPr>
      </w:pPr>
      <w:r>
        <w:rPr>
          <w:rFonts w:hint="eastAsia" w:ascii="Times New Roman" w:hAnsi="Times New Roman"/>
        </w:rPr>
        <w:t>应用型高校要锚定定位，坚持分类发展、特色发展，立足区域经济社会发展需求，摒弃同质化办学倾向，坚守服务地方、对接产业、赋能就业的核心使命。强化顶层设计引领。紧扣国家高等教育分类改革部署，结合区域产业发展规划，将高水平应用型高校建设纳入地方发展总体规划，明确建设标准、评价指标和支持政策，统筹资源配置，集中力量打造办学特色，全面夯实应用型高校特色发展根基。健全分类评价机制。发挥评价“指挥棒”作用，构建差异化考核体系。聚焦产教融合成效、实践育人质量、产业技术服务、学生就业创业能力等核心指标，引导高校回归应用型办学本源，以科学评价助力办学转型、特色发展，激发师生服务区域产业升级的内生动力，推动应用型高校高质量内涵式发展。优化资源配置方式。统筹人力、物力、财力合理分配，加大实践教学、实训基地、校企合作平台建设投入，倾斜优势特色应用型专业集群发展。深化校地、校企资源共享共用，盘活存量资源。完善经费投入与使用管理机制，精准对接人才培养、技术服务等核心任务，以资源精准赋能特色发展，切实提升办学效能与社会服务水平。</w:t>
      </w:r>
    </w:p>
    <w:p>
      <w:pPr>
        <w:pStyle w:val="25"/>
        <w:widowControl/>
        <w:ind w:firstLine="562"/>
        <w:rPr>
          <w:rFonts w:ascii="Times New Roman" w:hAnsi="Times New Roman"/>
          <w:b/>
        </w:rPr>
      </w:pPr>
      <w:r>
        <w:rPr>
          <w:rFonts w:hint="eastAsia" w:ascii="Times New Roman" w:hAnsi="Times New Roman"/>
          <w:b/>
        </w:rPr>
        <w:t>产教融合，路在何方？——构建校企协同育人新模式</w:t>
      </w:r>
    </w:p>
    <w:p>
      <w:pPr>
        <w:pStyle w:val="25"/>
        <w:widowControl/>
        <w:rPr>
          <w:rFonts w:ascii="Times New Roman" w:hAnsi="Times New Roman"/>
        </w:rPr>
      </w:pPr>
      <w:r>
        <w:rPr>
          <w:rFonts w:hint="eastAsia" w:ascii="Times New Roman" w:hAnsi="Times New Roman"/>
        </w:rPr>
        <w:t>产教融合是推动应用型高校发展的核心路径，更是服务实体经济、培育应用型人才的关键举措。优化专业集群布局。聚焦区域主导产业、新兴产业与民生领域发展需求，立足办学特色与资源优势，建立专业动态调整机制，淘汰滞后专业、改造传统专业、增设紧缺专业，整合相近学科专业，构建对接产业链的特色专业集群，以集群化发展强化专业竞争力，精准适配地方产业升级，夯实应用型办学核心支撑。创新人才培养模式。深化校企协同育人机制，联合行业企业共同制定人才培养方案、开发课程教材、共建实践教学平台。推行订单培养、工学交替、顶岗实习等多元育人形式，将岗位技能、行业标准融入教学全过程。加强“双师型”师资队伍建设，推动企业技术骨干入校授课。聚焦实践能力与创新素养培育，缩短人才成长与产业需求差距，全面提升应用型人才培养质量。搭建产教融合平台。联合地方政府、龙头企业与行业协会，构建多元协同合作体系。统筹共建产业学院、实训中心、技术研发中心等实体平台，整合校企双方场地、设备、技术与人才资源。依托平台开展联合教学、项目研发、技能培训与成果转化，打通教育链、人才链与产业链衔接通道，全面激活应用型高校特色发展动能。推进科教融汇发展。注重数字化赋能，利用大数据、人工智能等技术，聚焦新质生产力发展需求，调整科研与教学布局，增设贴合产业实际的课程模块，将科研成果转化为教学资源，搭建线上科教融汇平台，拓宽科研与教学融合的渠道，持续提升人才培养质量和科研服务能力。</w:t>
      </w:r>
    </w:p>
    <w:p>
      <w:pPr>
        <w:pStyle w:val="25"/>
        <w:widowControl/>
        <w:ind w:firstLine="562"/>
        <w:rPr>
          <w:rFonts w:ascii="Times New Roman" w:hAnsi="Times New Roman"/>
          <w:b/>
        </w:rPr>
      </w:pPr>
      <w:r>
        <w:rPr>
          <w:rFonts w:hint="eastAsia" w:ascii="Times New Roman" w:hAnsi="Times New Roman"/>
          <w:b/>
        </w:rPr>
        <w:t>内涵建设，赋能几何？——夯实高水平发展核心支撑</w:t>
      </w:r>
    </w:p>
    <w:p>
      <w:pPr>
        <w:pStyle w:val="25"/>
        <w:widowControl/>
        <w:rPr>
          <w:rFonts w:ascii="Times New Roman" w:hAnsi="Times New Roman"/>
        </w:rPr>
      </w:pPr>
      <w:r>
        <w:rPr>
          <w:rFonts w:hint="eastAsia" w:ascii="Times New Roman" w:hAnsi="Times New Roman"/>
        </w:rPr>
        <w:t>内涵建设是应用型高校安身立命之本，是实现学校高水平发展的必然要求。抓好内涵建设，才能更</w:t>
      </w:r>
      <w:r>
        <w:rPr>
          <w:rFonts w:hint="eastAsia" w:ascii="Times New Roman" w:hAnsi="Times New Roman"/>
          <w:lang w:eastAsia="zh-CN"/>
        </w:rPr>
        <w:t>好地</w:t>
      </w:r>
      <w:r>
        <w:rPr>
          <w:rFonts w:hint="eastAsia" w:ascii="Times New Roman" w:hAnsi="Times New Roman"/>
        </w:rPr>
        <w:t>对接产业需求、深化产教融合，培养出适配区域产业发展的高素质应用型人才，为区域经济社会发展提供坚实人才与智力支撑，实现高校与地方产业协同发展。建强“双师型”师资队伍。完善“双师型”教师引进、培养与考核机制，鼓励教师深入企业一线。聘请行业技术骨干、企业高技能人才兼职授课，优化师资队伍结构。改革教师评价体系，引导高水平科研成果向教学内容转化，侧重实践教学、技术服务与校企合作成果。以高素质“双师型”队伍赋能课程改革、实践教学与应用研究，全面夯实应用型高校特色发展的人才根基。深化教育教学改革。坚持立德树人根本任务，构建思政课程与课程思政同向同行格局，将工匠精神、职业道德融入人才培养全过程。动态优化人才培养方案和课程体系，增加实践类、实操类课程比重。创新课堂教学模式，推行项目化、案例化教学，促进理论知识与实践应用深度融合。完善教学质量监管与评价体系，全面提升应用型人才培养综合素养。加强国际交流合作。与国外应用型高校、行业龙头企业、科研机构建立长效合作机制，开展联合科研攻关、师生互访、课程共建，引进先进应用技术与教学理念。依托国际合作项目，培养具有国际视野、通晓国际规则、具备跨文化沟通能力的应用型人才，满足我国企业“走出去”对复合型人才的需求，输出我国应用型教育成果与技术经验。聚焦新能源、智能制造、数字经济等新兴领域，联合开展跨国技术研发，破解国际共性应用技术难题，提升高校国际科研影响力。积极参与国际应用型教育标准制定，打造具有中国特色的应用型教育品牌。</w:t>
      </w:r>
    </w:p>
    <w:p>
      <w:pPr>
        <w:pStyle w:val="25"/>
        <w:widowControl/>
        <w:ind w:firstLine="562"/>
        <w:rPr>
          <w:rFonts w:ascii="Times New Roman" w:hAnsi="Times New Roman"/>
          <w:b/>
        </w:rPr>
      </w:pPr>
      <w:r>
        <w:rPr>
          <w:rFonts w:hint="eastAsia" w:ascii="Times New Roman" w:hAnsi="Times New Roman"/>
          <w:b/>
        </w:rPr>
        <w:t>提质培优，使命何在？——聚焦高质量发展内生动能</w:t>
      </w:r>
    </w:p>
    <w:p>
      <w:pPr>
        <w:pStyle w:val="25"/>
        <w:widowControl/>
        <w:rPr>
          <w:rFonts w:ascii="Times New Roman" w:hAnsi="Times New Roman"/>
        </w:rPr>
      </w:pPr>
      <w:r>
        <w:rPr>
          <w:rFonts w:hint="eastAsia" w:ascii="Times New Roman" w:hAnsi="Times New Roman"/>
        </w:rPr>
        <w:t>建设高水平应用型高校是服务教育强国建设、支撑产业转型升级、培育新质生产力的重要举措。“十五五”开局之年，我们要深入贯彻习近平总书记关于教育的重要论述，全面落实党中央、国务院决策部署和教育部工作要求，坚定应用型办学定位，强化系统发力，在政策支持、产教融合、内涵建设方面持续突破，推动应用型高校办出特色、办出水平。2026年1月，教育部学校规划建设发展中心主办的建强应用型高校发展研讨会在上海召开，上海理工大学发布建设高水平应用型高校联盟的倡议，打造中国高水平应用型高校的责任共同体、发展共同体和命运共同体。共同体建设已成为应用型高校自强卓越、协同创新的重要抓手。立足新发展阶段，为形成发展合力、聚焦关键举措、加强特色发展，今年5月下旬，我们拟举办应用型高校高质量发展研讨会。会议期间，上海理工大学作为发起单位拟联合数百所高校成立高水平应用型高校联盟，成员院校将形成资源互通、理念互鉴、改革互助格局，推动应用型高校从“单点探索”迈向“联合攻坚”，为区域经济发展和教育强国建设提供坚实支撑。敬请持续关注。</w:t>
      </w:r>
    </w:p>
    <w:p>
      <w:pPr>
        <w:pStyle w:val="25"/>
        <w:rPr>
          <w:rFonts w:ascii="Times New Roman" w:hAnsi="Times New Roman"/>
        </w:rPr>
      </w:pPr>
      <w:r>
        <w:rPr>
          <w:rFonts w:hint="eastAsia" w:ascii="Times New Roman" w:hAnsi="Times New Roman"/>
        </w:rPr>
        <w:t>（</w:t>
      </w:r>
      <w:r>
        <w:rPr>
          <w:rFonts w:hint="eastAsia" w:ascii="Times New Roman" w:hAnsi="Times New Roman" w:cs="宋体"/>
        </w:rPr>
        <w:t>摘编自微信公众号“教育之弦”网站202</w:t>
      </w:r>
      <w:r>
        <w:rPr>
          <w:rFonts w:ascii="Times New Roman" w:hAnsi="Times New Roman" w:cs="宋体"/>
        </w:rPr>
        <w:t>6</w:t>
      </w:r>
      <w:r>
        <w:rPr>
          <w:rFonts w:hint="eastAsia" w:ascii="Times New Roman" w:hAnsi="Times New Roman" w:cs="宋体"/>
        </w:rPr>
        <w:t>年</w:t>
      </w:r>
      <w:r>
        <w:rPr>
          <w:rFonts w:ascii="Times New Roman" w:hAnsi="Times New Roman" w:cs="宋体"/>
        </w:rPr>
        <w:t>0</w:t>
      </w:r>
      <w:r>
        <w:rPr>
          <w:rFonts w:hint="eastAsia" w:ascii="Times New Roman" w:hAnsi="Times New Roman" w:cs="宋体"/>
        </w:rPr>
        <w:t>5月13日https://mp.weixin.qq.com/s/G0s5A4m-pMwxpo2mENffSQ</w:t>
      </w:r>
      <w:r>
        <w:rPr>
          <w:rFonts w:hint="eastAsia" w:ascii="Times New Roman" w:hAnsi="Times New Roman"/>
        </w:rPr>
        <w:t>）</w:t>
      </w:r>
    </w:p>
    <w:bookmarkEnd w:id="6"/>
    <w:bookmarkEnd w:id="7"/>
    <w:bookmarkEnd w:id="8"/>
    <w:bookmarkEnd w:id="9"/>
    <w:p>
      <w:pPr>
        <w:widowControl/>
        <w:jc w:val="left"/>
        <w:rPr>
          <w:rFonts w:ascii="Times New Roman" w:hAnsi="Times New Roman" w:eastAsia="宋体" w:cs="Times New Roman"/>
          <w:sz w:val="28"/>
        </w:rPr>
      </w:pPr>
      <w:r>
        <w:rPr>
          <w:rFonts w:ascii="Times New Roman" w:hAnsi="Times New Roman"/>
        </w:rPr>
        <w:br w:type="page"/>
      </w:r>
    </w:p>
    <w:p>
      <w:pPr>
        <w:pStyle w:val="40"/>
        <w:rPr>
          <w:rFonts w:ascii="Times New Roman" w:hAnsi="Times New Roman"/>
        </w:rPr>
      </w:pPr>
      <w:bookmarkStart w:id="14" w:name="_Toc230945498"/>
      <w:r>
        <w:rPr>
          <w:rFonts w:hint="eastAsia" w:ascii="Times New Roman" w:hAnsi="Times New Roman"/>
        </w:rPr>
        <w:t>【升大动态】</w:t>
      </w:r>
      <w:bookmarkEnd w:id="14"/>
    </w:p>
    <w:p>
      <w:pPr>
        <w:pStyle w:val="25"/>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5" w:name="_Toc230945499"/>
      <w:bookmarkStart w:id="16" w:name="_Toc29300"/>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淮安大学正式启用新校名校徽</w:t>
      </w:r>
      <w:bookmarkEnd w:id="15"/>
    </w:p>
    <w:p>
      <w:pPr>
        <w:pStyle w:val="25"/>
        <w:rPr>
          <w:rFonts w:ascii="Times New Roman" w:hAnsi="Times New Roman"/>
        </w:rPr>
      </w:pPr>
      <w:r>
        <w:rPr>
          <w:rFonts w:hint="eastAsia" w:ascii="Times New Roman" w:hAnsi="Times New Roman"/>
        </w:rPr>
        <w:t>5月16日上午，淮安大学高质量发展大会在该校枚乘路校区举行。会上，校方正式启用“淮安大学”新校名和新校徽。这是继今年2月淮阴工学院获批更名为淮安大学后，学校发展史上又一标志性时刻，也标志着淮安迈入高等教育提质升级的新阶段。</w:t>
      </w:r>
    </w:p>
    <w:p>
      <w:pPr>
        <w:pStyle w:val="25"/>
        <w:rPr>
          <w:rFonts w:ascii="Times New Roman" w:hAnsi="Times New Roman"/>
        </w:rPr>
      </w:pPr>
      <w:r>
        <w:rPr>
          <w:rFonts w:hint="eastAsia" w:ascii="Times New Roman" w:hAnsi="Times New Roman"/>
        </w:rPr>
        <w:t>淮安大学的前身为1958年兴办的淮阴工业专科学校，2000年组建淮阴工学院，2026年成功更名。68年来，学校坚持应用型办学定位，已获批硕士学位授予单位，入选江苏省一流应用型本科高校建设单位，连续3年获省属高校高质量发展综合考核第一等次，去年成为博士学位授予立项建设单位。面向未来，淮安大学加快建成特色鲜明、国内领先的高水平应用型大学。</w:t>
      </w:r>
    </w:p>
    <w:p>
      <w:pPr>
        <w:pStyle w:val="25"/>
        <w:widowControl/>
        <w:rPr>
          <w:rFonts w:ascii="Times New Roman" w:hAnsi="Times New Roman"/>
        </w:rPr>
      </w:pPr>
      <w:r>
        <w:rPr>
          <w:rFonts w:hint="eastAsia" w:ascii="Times New Roman" w:hAnsi="Times New Roman"/>
        </w:rPr>
        <w:t>（摘编自《扬子晚报》202</w:t>
      </w:r>
      <w:r>
        <w:rPr>
          <w:rFonts w:ascii="Times New Roman" w:hAnsi="Times New Roman"/>
        </w:rPr>
        <w:t>6</w:t>
      </w:r>
      <w:r>
        <w:rPr>
          <w:rFonts w:hint="eastAsia" w:ascii="Times New Roman" w:hAnsi="Times New Roman"/>
        </w:rPr>
        <w:t>年</w:t>
      </w:r>
      <w:r>
        <w:rPr>
          <w:rFonts w:ascii="Times New Roman" w:hAnsi="Times New Roman"/>
        </w:rPr>
        <w:t>0</w:t>
      </w:r>
      <w:r>
        <w:rPr>
          <w:rFonts w:hint="eastAsia" w:ascii="Times New Roman" w:hAnsi="Times New Roman"/>
        </w:rPr>
        <w:t>5月</w:t>
      </w:r>
      <w:r>
        <w:rPr>
          <w:rFonts w:ascii="Times New Roman" w:hAnsi="Times New Roman"/>
        </w:rPr>
        <w:t>1</w:t>
      </w:r>
      <w:r>
        <w:rPr>
          <w:rFonts w:hint="eastAsia" w:ascii="Times New Roman" w:hAnsi="Times New Roman"/>
        </w:rPr>
        <w:t>7日第0</w:t>
      </w:r>
      <w:r>
        <w:rPr>
          <w:rFonts w:ascii="Times New Roman" w:hAnsi="Times New Roman"/>
        </w:rPr>
        <w:t>2</w:t>
      </w:r>
      <w:r>
        <w:rPr>
          <w:rFonts w:hint="eastAsia" w:ascii="Times New Roman" w:hAnsi="Times New Roman"/>
        </w:rPr>
        <w:t>版）</w:t>
      </w:r>
    </w:p>
    <w:bookmarkEnd w:id="16"/>
    <w:p>
      <w:pPr>
        <w:widowControl/>
        <w:jc w:val="left"/>
        <w:rPr>
          <w:rFonts w:ascii="Times New Roman" w:hAnsi="Times New Roman" w:eastAsia="宋体" w:cs="宋体"/>
          <w:sz w:val="28"/>
        </w:rPr>
      </w:pPr>
      <w:r>
        <w:rPr>
          <w:rFonts w:ascii="Times New Roman" w:hAnsi="Times New Roman" w:cs="宋体"/>
        </w:rPr>
        <w:br w:type="page"/>
      </w:r>
    </w:p>
    <w:p>
      <w:pPr>
        <w:pStyle w:val="40"/>
        <w:rPr>
          <w:rFonts w:ascii="Times New Roman" w:hAnsi="Times New Roman"/>
        </w:rPr>
      </w:pPr>
      <w:bookmarkStart w:id="17" w:name="_Toc20590"/>
      <w:bookmarkStart w:id="18" w:name="_Toc230945500"/>
      <w:r>
        <w:rPr>
          <w:rFonts w:ascii="Times New Roman" w:hAnsi="Times New Roman"/>
        </w:rPr>
        <w:t>【</w:t>
      </w:r>
      <w:r>
        <w:rPr>
          <w:rFonts w:hint="eastAsia" w:ascii="Times New Roman" w:hAnsi="Times New Roman"/>
        </w:rPr>
        <w:t>院校扫描</w:t>
      </w:r>
      <w:r>
        <w:rPr>
          <w:rFonts w:ascii="Times New Roman" w:hAnsi="Times New Roman"/>
        </w:rPr>
        <w:t>】</w:t>
      </w:r>
      <w:bookmarkEnd w:id="17"/>
      <w:bookmarkEnd w:id="18"/>
    </w:p>
    <w:p>
      <w:pPr>
        <w:pStyle w:val="25"/>
        <w:ind w:firstLine="0" w:firstLineChars="0"/>
        <w:jc w:val="center"/>
        <w:rPr>
          <w:rFonts w:ascii="Times New Roman" w:hAnsi="Times New Roman"/>
        </w:rPr>
      </w:pPr>
    </w:p>
    <w:p>
      <w:pPr>
        <w:pStyle w:val="24"/>
        <w:ind w:firstLine="643"/>
        <w:rPr>
          <w:rFonts w:hint="default" w:ascii="Times New Roman" w:hAnsi="Times New Roman" w:eastAsiaTheme="majorEastAsia" w:cstheme="majorEastAsia"/>
          <w:color w:val="auto"/>
        </w:rPr>
      </w:pPr>
      <w:bookmarkStart w:id="19" w:name="_Toc191329437"/>
      <w:bookmarkStart w:id="20" w:name="_Toc230945501"/>
      <w:r>
        <w:rPr>
          <w:rFonts w:ascii="Times New Roman" w:hAnsi="Times New Roman" w:eastAsiaTheme="majorEastAsia" w:cstheme="majorEastAsia"/>
          <w:color w:val="auto"/>
        </w:rPr>
        <w:sym w:font="Wingdings" w:char="F075"/>
      </w:r>
      <w:bookmarkEnd w:id="19"/>
      <w:r>
        <w:rPr>
          <w:rFonts w:ascii="Times New Roman" w:hAnsi="Times New Roman" w:eastAsiaTheme="majorEastAsia" w:cstheme="majorEastAsia"/>
          <w:color w:val="auto"/>
        </w:rPr>
        <w:t>河南科技学院：“三融”共振 赋能人才培养与产业发展</w:t>
      </w:r>
      <w:bookmarkEnd w:id="20"/>
    </w:p>
    <w:p>
      <w:pPr>
        <w:pStyle w:val="25"/>
        <w:rPr>
          <w:rFonts w:ascii="Times New Roman" w:hAnsi="Times New Roman"/>
        </w:rPr>
      </w:pPr>
      <w:r>
        <w:rPr>
          <w:rFonts w:hint="eastAsia" w:ascii="Times New Roman" w:hAnsi="Times New Roman"/>
        </w:rPr>
        <w:t>河南科技学院起源于1939年中国共产党创办的延安自然科学院大学部生物系，长期赓续红色血脉，坚守育人初心使命，勇于改革创新，在人才培养、科技创新、社会服务等方面取得显著成效。近年来，学校通过学科交融、科教融汇、产教融合，赋能人才培养，破解产学研协同育人中“合而不深”“供需不配”“融而不创”等难题，实现教学、科研、产业发展良性互动，为区域经济社会高质量发展提供坚实人才与科技支撑。</w:t>
      </w:r>
    </w:p>
    <w:p>
      <w:pPr>
        <w:pStyle w:val="25"/>
        <w:ind w:firstLine="562"/>
        <w:rPr>
          <w:rFonts w:ascii="Times New Roman" w:hAnsi="Times New Roman"/>
          <w:b/>
        </w:rPr>
      </w:pPr>
      <w:r>
        <w:rPr>
          <w:rFonts w:hint="eastAsia" w:ascii="Times New Roman" w:hAnsi="Times New Roman"/>
          <w:b/>
        </w:rPr>
        <w:t>聚焦国家战略和产业需求，以优化调整学科专业推动学科交融</w:t>
      </w:r>
    </w:p>
    <w:p>
      <w:pPr>
        <w:pStyle w:val="25"/>
        <w:rPr>
          <w:rFonts w:ascii="Times New Roman" w:hAnsi="Times New Roman"/>
        </w:rPr>
      </w:pPr>
      <w:r>
        <w:rPr>
          <w:rFonts w:hint="eastAsia" w:ascii="Times New Roman" w:hAnsi="Times New Roman"/>
        </w:rPr>
        <w:t>学校加速创建作物学一流学科，提升作物学、植物保护、兽医学等博士点支撑学科和软件工程、农业工程等硕士点培育学科建设水平。加快新兴交叉专业布局，深化产业学院、行业学院建设，重点推进先进工程机械数字化设计与制造、现代生物育种、智龙人工智能、生物农药创制与应用等特色学院发展，打造智能装备、智能机器人等产科教深度融合专业集群，实现专业与产业精准匹配。3个交叉学科硕士学位授权点通过国家教育部门备案，作物学等3个学科（群）入选河南省特色骨干学科（群），食品科学与工程等7个学科入选新一轮省重点学科，农业科学等4个学科进入ESI全球排名前1%。学校被确定为河南省博士学位授予重点立项建设单位。</w:t>
      </w:r>
    </w:p>
    <w:p>
      <w:pPr>
        <w:pStyle w:val="25"/>
        <w:rPr>
          <w:rFonts w:ascii="Times New Roman" w:hAnsi="Times New Roman"/>
        </w:rPr>
      </w:pPr>
      <w:r>
        <w:rPr>
          <w:rFonts w:hint="eastAsia" w:ascii="Times New Roman" w:hAnsi="Times New Roman"/>
        </w:rPr>
        <w:t>学校主动对接国家战略和河南省重点产业发展需求，实施“专业与产业匹配、课程与岗位对接”，通过信息、生物、工程技术与农学学科交叉融合，培育建设新专业，改造提升传统专业。近年来，增设生物育种科学、人工智能、智能制造工程、智慧牧业科学与工程等本科专业10个，撤销和停招适应性较差的专业16个；新增国家、省级一流本科专业建设点15个，一流优质课程79门，省级特色行业学院及产业学院4个；立项建设省级以上教改项目、教学工程项目398项，获省级教育教学成果奖32项。</w:t>
      </w:r>
    </w:p>
    <w:p>
      <w:pPr>
        <w:pStyle w:val="25"/>
        <w:ind w:firstLine="562"/>
        <w:rPr>
          <w:rFonts w:ascii="Times New Roman" w:hAnsi="Times New Roman"/>
          <w:b/>
        </w:rPr>
      </w:pPr>
      <w:r>
        <w:rPr>
          <w:rFonts w:hint="eastAsia" w:ascii="Times New Roman" w:hAnsi="Times New Roman"/>
          <w:b/>
        </w:rPr>
        <w:t>聚焦科研创新和能力培养，以科研反哺教学实践深化科教融汇</w:t>
      </w:r>
    </w:p>
    <w:p>
      <w:pPr>
        <w:pStyle w:val="25"/>
        <w:rPr>
          <w:rFonts w:ascii="Times New Roman" w:hAnsi="Times New Roman"/>
        </w:rPr>
      </w:pPr>
      <w:r>
        <w:rPr>
          <w:rFonts w:hint="eastAsia" w:ascii="Times New Roman" w:hAnsi="Times New Roman"/>
        </w:rPr>
        <w:t>学校聚焦未来科学家、工程师等卓越人才培养，建章立制鼓励支持科研专家为本科生授课，推动教师将科研过程、科研成果转化为教学资源，深度融入人才培养全过程。以科研项目为切入点，激发学生科研兴趣，培育学生发现问题、提出问题、解决问题的创新思维与实践能力。小麦育种专家茹振钢教授数十年深耕教书育人一线，荣获“全国模范教师”、河南省首届“教书育人楷模”称号，其带领的小麦育种团队获评“全国高校黄大年式教师团队”。小麦育种专家欧行奇教授作为茹振钢教授的学生，既潜心培育高产优质小麦品种，又将科研实践融入育人全过程，获评“全国先进工作者”。近两年，学校教师在全国高校教师教学创新大赛中获二等奖1项、三等奖1项，省赛中获特等奖1项、一等奖5项，获奖质量与数量均实现新突破。</w:t>
      </w:r>
    </w:p>
    <w:p>
      <w:pPr>
        <w:pStyle w:val="25"/>
        <w:rPr>
          <w:rFonts w:ascii="Times New Roman" w:hAnsi="Times New Roman"/>
        </w:rPr>
      </w:pPr>
      <w:r>
        <w:rPr>
          <w:rFonts w:hint="eastAsia" w:ascii="Times New Roman" w:hAnsi="Times New Roman"/>
        </w:rPr>
        <w:t>鼓励学生参与科研实践，涵育科学家精神，提升综合素养。学生积极参与科研项目、科技创新工作室、科技社团等活动，在科研历练中提升创新素养。学校人工智能学院蔡磊教授团队吸纳60余名本科生参与科研课题，本科生作为发明人获发明专利27件、实用新型专利21件，研制原创性智能农业机器人、两用机器人等高端智能装备40余台套。近5年，学生获批国家大学生创新创业训练计划项目60余项，获国家学科竞赛奖励近800项。</w:t>
      </w:r>
    </w:p>
    <w:p>
      <w:pPr>
        <w:pStyle w:val="25"/>
        <w:ind w:firstLine="562"/>
        <w:rPr>
          <w:rFonts w:ascii="Times New Roman" w:hAnsi="Times New Roman"/>
          <w:b/>
        </w:rPr>
      </w:pPr>
      <w:r>
        <w:rPr>
          <w:rFonts w:hint="eastAsia" w:ascii="Times New Roman" w:hAnsi="Times New Roman"/>
          <w:b/>
        </w:rPr>
        <w:t>聚焦区域发展和校企协同，以共建平台载体创新推进产教融合</w:t>
      </w:r>
    </w:p>
    <w:p>
      <w:pPr>
        <w:pStyle w:val="25"/>
        <w:rPr>
          <w:rFonts w:ascii="Times New Roman" w:hAnsi="Times New Roman"/>
        </w:rPr>
      </w:pPr>
      <w:r>
        <w:rPr>
          <w:rFonts w:hint="eastAsia" w:ascii="Times New Roman" w:hAnsi="Times New Roman"/>
        </w:rPr>
        <w:t>深化校地、校企、校所合作，共建融合育人平台。学校先后与新乡市等周边县（市）政府部门、卫华集团等地方龙头企业、河南省农科院等科研院所签订战略合作协议；组建河南省新农科创新联盟、畜牧兽医产教融合联盟等；成立校企联合理事会、行业教学指导委员会等；与行业企业共建国家、省级教学科研平台38个，省级大学生校外实践教育基地12个。</w:t>
      </w:r>
    </w:p>
    <w:p>
      <w:pPr>
        <w:pStyle w:val="25"/>
        <w:rPr>
          <w:rFonts w:ascii="Times New Roman" w:hAnsi="Times New Roman"/>
        </w:rPr>
      </w:pPr>
      <w:r>
        <w:rPr>
          <w:rFonts w:hint="eastAsia" w:ascii="Times New Roman" w:hAnsi="Times New Roman"/>
        </w:rPr>
        <w:t>以产业（行业）学院、研究院、科技园为核心载体，完善融合育人机制。高能级国家创新平台建设提质增效，小麦玉米两熟高效生产全国重点实验室正式挂牌运行，牵头3个、参与3个省重点实验室重组工作有序推进。建有河南省“先进工程机械数字化设计与制造”现代产业学院等6个校级产业学院；与农业龙头企业共建百泉现代农业研究院，联合成立农业农村部门重点实验室河南科技学院研发中心。紧扣企业需求，打造集人才培养、科学研究、技术创新、企业服务于一体的育人实体，构建“企业主导、需求牵引、学科交叉、融合创新、协同育人”的产学研深度融合机制，实施“协同制定人才培养方案、协同培育教师队伍、协同开发课程教材、协同承担教学任务、协同开展项目研究、协同评价人才质量”的“六协同”培养模式。农学、种子科学与工程等专业毕业生就职于河南省400余家作物种子企业，占河南省现有种子企业的83.6％，大批毕业生成长为中原地区农业科研院所及种子行业的育种专家与优秀管理人才。</w:t>
      </w:r>
    </w:p>
    <w:p>
      <w:pPr>
        <w:pStyle w:val="25"/>
        <w:rPr>
          <w:rFonts w:ascii="Times New Roman" w:hAnsi="Times New Roman"/>
        </w:rPr>
      </w:pPr>
      <w:r>
        <w:rPr>
          <w:rFonts w:hint="eastAsia" w:ascii="Times New Roman" w:hAnsi="Times New Roman"/>
        </w:rPr>
        <w:t>签订成果转化与横向科研项目258项，转化小麦、玉米等作物新品种31个，6个小麦品种单项成果转化经费超1000万元。与规模以上企业共建研发中心51个，成功入选首批河南省高校科技成果转化和技术转移基地，获批河南省技术转移示范机构。紧扣乡村振兴战略，扎实开展定点帮扶与结对帮扶工作；常态化选派科技特派员服务团队，先后派出科技服务团9个、科技特派员429人次，深入一线开展田间指导、技术培训，连续3年获评河南省科技特派员优秀派出单位。</w:t>
      </w:r>
    </w:p>
    <w:p>
      <w:pPr>
        <w:pStyle w:val="25"/>
        <w:rPr>
          <w:rFonts w:ascii="Times New Roman" w:hAnsi="Times New Roman" w:cs="宋体"/>
        </w:rPr>
      </w:pPr>
      <w:r>
        <w:rPr>
          <w:rFonts w:hint="eastAsia" w:ascii="Times New Roman" w:hAnsi="Times New Roman"/>
        </w:rPr>
        <w:t>（摘编自《中国教育报》202</w:t>
      </w:r>
      <w:r>
        <w:rPr>
          <w:rFonts w:ascii="Times New Roman" w:hAnsi="Times New Roman"/>
        </w:rPr>
        <w:t>6</w:t>
      </w:r>
      <w:r>
        <w:rPr>
          <w:rFonts w:hint="eastAsia" w:ascii="Times New Roman" w:hAnsi="Times New Roman"/>
        </w:rPr>
        <w:t>年</w:t>
      </w:r>
      <w:r>
        <w:rPr>
          <w:rFonts w:ascii="Times New Roman" w:hAnsi="Times New Roman"/>
        </w:rPr>
        <w:t>0</w:t>
      </w:r>
      <w:r>
        <w:rPr>
          <w:rFonts w:hint="eastAsia" w:ascii="Times New Roman" w:hAnsi="Times New Roman"/>
        </w:rPr>
        <w:t>5月</w:t>
      </w:r>
      <w:r>
        <w:rPr>
          <w:rFonts w:ascii="Times New Roman" w:hAnsi="Times New Roman"/>
        </w:rPr>
        <w:t>16</w:t>
      </w:r>
      <w:r>
        <w:rPr>
          <w:rFonts w:hint="eastAsia" w:ascii="Times New Roman" w:hAnsi="Times New Roman"/>
        </w:rPr>
        <w:t>日第</w:t>
      </w:r>
      <w:r>
        <w:rPr>
          <w:rFonts w:ascii="Times New Roman" w:hAnsi="Times New Roman"/>
        </w:rPr>
        <w:t>04</w:t>
      </w:r>
      <w:r>
        <w:rPr>
          <w:rFonts w:hint="eastAsia" w:ascii="Times New Roman" w:hAnsi="Times New Roman"/>
        </w:rPr>
        <w:t>版</w:t>
      </w:r>
      <w:r>
        <w:rPr>
          <w:rFonts w:hint="eastAsia" w:ascii="Times New Roman" w:hAnsi="Times New Roman" w:cs="宋体"/>
        </w:rPr>
        <w:t>）</w:t>
      </w:r>
    </w:p>
    <w:p>
      <w:pPr>
        <w:pStyle w:val="25"/>
        <w:rPr>
          <w:rFonts w:ascii="Times New Roman" w:hAnsi="Times New Roman" w:cs="宋体"/>
        </w:rPr>
      </w:pPr>
    </w:p>
    <w:p>
      <w:pPr>
        <w:pStyle w:val="25"/>
        <w:rPr>
          <w:rFonts w:ascii="Times New Roman" w:hAnsi="Times New Roman" w:cs="宋体"/>
        </w:rPr>
      </w:pPr>
    </w:p>
    <w:p>
      <w:pPr>
        <w:pStyle w:val="25"/>
        <w:rPr>
          <w:rFonts w:ascii="Times New Roman" w:hAnsi="Times New Roman" w:cs="宋体"/>
        </w:rPr>
      </w:pPr>
    </w:p>
    <w:p>
      <w:pPr>
        <w:pStyle w:val="24"/>
        <w:ind w:firstLine="643"/>
        <w:jc w:val="both"/>
        <w:rPr>
          <w:rFonts w:hint="default" w:ascii="Times New Roman" w:hAnsi="Times New Roman"/>
          <w:color w:val="auto"/>
        </w:rPr>
      </w:pPr>
      <w:bookmarkStart w:id="21" w:name="_Toc215249277"/>
      <w:bookmarkStart w:id="22" w:name="_Toc230945502"/>
      <w:r>
        <w:rPr>
          <w:rFonts w:ascii="Times New Roman" w:hAnsi="Times New Roman" w:eastAsiaTheme="majorEastAsia" w:cstheme="majorEastAsia"/>
          <w:color w:val="auto"/>
        </w:rPr>
        <w:sym w:font="Wingdings" w:char="F075"/>
      </w:r>
      <w:bookmarkEnd w:id="21"/>
      <w:r>
        <w:rPr>
          <w:rFonts w:ascii="Times New Roman" w:hAnsi="Times New Roman" w:eastAsiaTheme="majorEastAsia" w:cstheme="majorEastAsia"/>
          <w:color w:val="auto"/>
        </w:rPr>
        <w:t>苏州工学院：专业“种”进产业里 人才“长”在产线旁</w:t>
      </w:r>
      <w:bookmarkEnd w:id="22"/>
    </w:p>
    <w:p>
      <w:pPr>
        <w:pStyle w:val="25"/>
        <w:rPr>
          <w:rFonts w:ascii="Times New Roman" w:hAnsi="Times New Roman"/>
        </w:rPr>
      </w:pPr>
      <w:r>
        <w:rPr>
          <w:rFonts w:hint="eastAsia" w:ascii="Times New Roman" w:hAnsi="Times New Roman"/>
        </w:rPr>
        <w:t>走访企业逾500家次，推动40余项产学研合作落地，合同金额超1500万元——这是苏州工学院教授董利明挂职昆山科技镇长团三年交出的成绩单。成绩的背后，是一所应用型高校的集体选择——把专业“种”进产业里，让人才在生产线旁生长。</w:t>
      </w:r>
    </w:p>
    <w:p>
      <w:pPr>
        <w:pStyle w:val="25"/>
        <w:rPr>
          <w:rFonts w:ascii="Times New Roman" w:hAnsi="Times New Roman"/>
        </w:rPr>
      </w:pPr>
      <w:r>
        <w:rPr>
          <w:rFonts w:hint="eastAsia" w:ascii="Times New Roman" w:hAnsi="Times New Roman"/>
        </w:rPr>
        <w:t>这条路的起点，是一个朴素的问题：课堂与车间之间，究竟该有多远？学校的行动具体而清晰。近三年，学校动态优化11个专业，新增4个新兴专业，组建9个专业集群，精准对接江苏高端装备制造、新能源、生物医药等重点产业。有了方向之后，学校着力打通教学场景与生产现场的衔接：543名产业导师从企业走进课堂，带去了生产线上的真实问题；校企共同开发课程226门、合编教材117部，78%的毕业设计选题直接来源于企业需求。目前，学校已建成省级产教融合型品牌专业10个，拥有产业教授31人，相关指标位居全省前列。</w:t>
      </w:r>
    </w:p>
    <w:p>
      <w:pPr>
        <w:pStyle w:val="25"/>
        <w:rPr>
          <w:rFonts w:ascii="Times New Roman" w:hAnsi="Times New Roman"/>
        </w:rPr>
      </w:pPr>
      <w:r>
        <w:rPr>
          <w:rFonts w:hint="eastAsia" w:ascii="Times New Roman" w:hAnsi="Times New Roman"/>
        </w:rPr>
        <w:t>专业集群要走向深入，离不开校地深度联动。苏州工学院应用型院校研究中心主任顾永安认为：“专业集群是地方高校转型发展的关键抓手与校地相融的重要纽带。”学校将专业集群建设纳入地方产业规划，组建跨学科技术服务团队，累计为企业解决技术难题200余项，每年为超千家企业提供技术支持与人才培训。这一机制一端连着产业，另一端通向学生的成长。</w:t>
      </w:r>
    </w:p>
    <w:p>
      <w:pPr>
        <w:pStyle w:val="25"/>
        <w:rPr>
          <w:rFonts w:ascii="Times New Roman" w:hAnsi="Times New Roman"/>
        </w:rPr>
      </w:pPr>
      <w:r>
        <w:rPr>
          <w:rFonts w:hint="eastAsia" w:ascii="Times New Roman" w:hAnsi="Times New Roman"/>
        </w:rPr>
        <w:t>机械工程学院2016届校友李耀峰的成长，得益于这样的人才培育生态。他扎根企业一线十年，入职初期，面对一台频繁停机的进口磨床，他三周内拿出国产化改造方案，为企业省下二十余万元。此后他累计完成技术创新项目100余项，申请专利40项、获授权30项，年均为企业节约成本超千万元，先后获评“江苏省五一劳动奖章”“江苏省技术能手”等。</w:t>
      </w:r>
    </w:p>
    <w:p>
      <w:pPr>
        <w:pStyle w:val="25"/>
        <w:rPr>
          <w:rFonts w:ascii="Times New Roman" w:hAnsi="Times New Roman"/>
        </w:rPr>
      </w:pPr>
      <w:r>
        <w:rPr>
          <w:rFonts w:hint="eastAsia" w:ascii="Times New Roman" w:hAnsi="Times New Roman"/>
        </w:rPr>
        <w:t>创新链在校园内同样不断延伸。学校坚持“科研反哺教学、教学支撑创新、创新服务产业”，支持学生早进课题、早进团队、早参与研发。2025年，学校斩获中国国际大学生创新大赛金奖6项，位列全国第11位，在全国新建本科院校大学生竞赛榜单中稳居前列。</w:t>
      </w:r>
    </w:p>
    <w:p>
      <w:pPr>
        <w:pStyle w:val="25"/>
        <w:rPr>
          <w:rFonts w:ascii="Times New Roman" w:hAnsi="Times New Roman"/>
        </w:rPr>
      </w:pPr>
      <w:r>
        <w:rPr>
          <w:rFonts w:hint="eastAsia" w:ascii="Times New Roman" w:hAnsi="Times New Roman"/>
        </w:rPr>
        <w:t>“学生最终都要走向社会，我们就是要培养能适应地方产业需要、具有解决</w:t>
      </w:r>
      <w:r>
        <w:rPr>
          <w:rFonts w:hint="eastAsia" w:ascii="Times New Roman" w:hAnsi="Times New Roman"/>
          <w:lang w:eastAsia="zh-CN"/>
        </w:rPr>
        <w:t>实际问题的能力</w:t>
      </w:r>
      <w:r>
        <w:rPr>
          <w:rFonts w:hint="eastAsia" w:ascii="Times New Roman" w:hAnsi="Times New Roman"/>
        </w:rPr>
        <w:t>的高素质应用型人才。”苏州工学院党委书记王鲁沛说。</w:t>
      </w:r>
    </w:p>
    <w:p>
      <w:pPr>
        <w:pStyle w:val="25"/>
        <w:rPr>
          <w:rFonts w:ascii="Times New Roman" w:hAnsi="Times New Roman" w:cs="宋体"/>
        </w:rPr>
      </w:pPr>
      <w:r>
        <w:rPr>
          <w:rFonts w:hint="eastAsia" w:ascii="Times New Roman" w:hAnsi="Times New Roman"/>
        </w:rPr>
        <w:t>（摘编自《光明日报》2026年05月2</w:t>
      </w:r>
      <w:r>
        <w:rPr>
          <w:rFonts w:ascii="Times New Roman" w:hAnsi="Times New Roman"/>
        </w:rPr>
        <w:t>2</w:t>
      </w:r>
      <w:r>
        <w:rPr>
          <w:rFonts w:hint="eastAsia" w:ascii="Times New Roman" w:hAnsi="Times New Roman"/>
        </w:rPr>
        <w:t>日第0</w:t>
      </w:r>
      <w:r>
        <w:rPr>
          <w:rFonts w:ascii="Times New Roman" w:hAnsi="Times New Roman"/>
        </w:rPr>
        <w:t>8</w:t>
      </w:r>
      <w:r>
        <w:rPr>
          <w:rFonts w:hint="eastAsia" w:ascii="Times New Roman" w:hAnsi="Times New Roman"/>
        </w:rPr>
        <w:t>版</w:t>
      </w:r>
      <w:r>
        <w:rPr>
          <w:rFonts w:hint="eastAsia" w:ascii="Times New Roman" w:hAnsi="Times New Roman" w:cs="宋体"/>
        </w:rPr>
        <w:t>）</w:t>
      </w:r>
    </w:p>
    <w:p>
      <w:pPr>
        <w:widowControl/>
        <w:jc w:val="left"/>
        <w:rPr>
          <w:rFonts w:ascii="Times New Roman" w:hAnsi="Times New Roman" w:eastAsia="宋体" w:cs="宋体"/>
          <w:sz w:val="28"/>
        </w:rPr>
      </w:pPr>
      <w:r>
        <w:rPr>
          <w:rFonts w:ascii="Times New Roman" w:hAnsi="Times New Roman" w:cs="宋体"/>
        </w:rPr>
        <w:br w:type="page"/>
      </w:r>
    </w:p>
    <w:p>
      <w:pPr>
        <w:pStyle w:val="40"/>
        <w:rPr>
          <w:rFonts w:ascii="Times New Roman" w:hAnsi="Times New Roman"/>
        </w:rPr>
      </w:pPr>
      <w:bookmarkStart w:id="23" w:name="_Toc230945503"/>
      <w:r>
        <w:rPr>
          <w:rFonts w:ascii="Times New Roman" w:hAnsi="Times New Roman"/>
        </w:rPr>
        <w:t>【</w:t>
      </w:r>
      <w:r>
        <w:rPr>
          <w:rFonts w:hint="eastAsia" w:ascii="Times New Roman" w:hAnsi="Times New Roman"/>
        </w:rPr>
        <w:t>转型探索</w:t>
      </w:r>
      <w:r>
        <w:rPr>
          <w:rFonts w:ascii="Times New Roman" w:hAnsi="Times New Roman"/>
        </w:rPr>
        <w:t>】</w:t>
      </w:r>
      <w:bookmarkEnd w:id="23"/>
    </w:p>
    <w:p>
      <w:pPr>
        <w:pStyle w:val="25"/>
        <w:ind w:firstLine="0" w:firstLineChars="0"/>
        <w:jc w:val="center"/>
        <w:rPr>
          <w:rFonts w:ascii="Times New Roman" w:hAnsi="Times New Roman"/>
        </w:rPr>
      </w:pPr>
    </w:p>
    <w:p>
      <w:pPr>
        <w:pStyle w:val="24"/>
        <w:ind w:firstLine="643"/>
        <w:jc w:val="both"/>
        <w:rPr>
          <w:rFonts w:hint="default" w:ascii="Times New Roman" w:hAnsi="Times New Roman"/>
          <w:color w:val="auto"/>
        </w:rPr>
      </w:pPr>
      <w:bookmarkStart w:id="24" w:name="_Toc230945504"/>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中国青年报：应用型大学需三大系统性“重塑”</w:t>
      </w:r>
      <w:bookmarkEnd w:id="24"/>
    </w:p>
    <w:p>
      <w:pPr>
        <w:pStyle w:val="25"/>
        <w:rPr>
          <w:rFonts w:ascii="Times New Roman" w:hAnsi="Times New Roman"/>
        </w:rPr>
      </w:pPr>
      <w:r>
        <w:rPr>
          <w:rFonts w:hint="eastAsia" w:ascii="Times New Roman" w:hAnsi="Times New Roman"/>
        </w:rPr>
        <w:t>2015年，教育部等三部委联合发布《关于引导部分地方普通本科高校向应用型转变的指导意见》，这是国家首次为应用型大学建设出台专门政策，目的是推动地方高校换赛道、转类型。历经十年探索，应用型大学的办学定位与特色日益清晰。</w:t>
      </w:r>
    </w:p>
    <w:p>
      <w:pPr>
        <w:pStyle w:val="25"/>
        <w:rPr>
          <w:rFonts w:ascii="Times New Roman" w:hAnsi="Times New Roman"/>
        </w:rPr>
      </w:pPr>
      <w:r>
        <w:rPr>
          <w:rFonts w:hint="eastAsia" w:ascii="Times New Roman" w:hAnsi="Times New Roman"/>
        </w:rPr>
        <w:t>2026年，教育部将启动高水平应用型大学建设“双优”工程，以办学能力优质、服务区域经济社会发展优秀为目标，推动应用型大学高水平发展、争创一流。这标志着我国应用型大学建设已完成“转型发展”的数量积累，正式迈入“提质创优”的质量飞跃新阶段。</w:t>
      </w:r>
    </w:p>
    <w:p>
      <w:pPr>
        <w:pStyle w:val="25"/>
        <w:rPr>
          <w:rFonts w:ascii="Times New Roman" w:hAnsi="Times New Roman"/>
        </w:rPr>
      </w:pPr>
      <w:r>
        <w:rPr>
          <w:rFonts w:hint="eastAsia" w:ascii="Times New Roman" w:hAnsi="Times New Roman"/>
        </w:rPr>
        <w:t>“双优”工程的提出，是回应产业变革、遵循高教规律、服务国家战略的必然产物，可谓正逢其时、势在必行。</w:t>
      </w:r>
    </w:p>
    <w:p>
      <w:pPr>
        <w:pStyle w:val="25"/>
        <w:rPr>
          <w:rFonts w:ascii="Times New Roman" w:hAnsi="Times New Roman"/>
        </w:rPr>
      </w:pPr>
      <w:r>
        <w:rPr>
          <w:rFonts w:hint="eastAsia" w:ascii="Times New Roman" w:hAnsi="Times New Roman"/>
        </w:rPr>
        <w:t>首先，这是服务国家经济转型与新质生产力培育的迫切需求。我国正处在经济结构深度调整、从全球产业链中低端向中高端迈进的关键时期。以人工智能、大数据为代表的</w:t>
      </w:r>
      <w:r>
        <w:rPr>
          <w:rFonts w:hint="eastAsia" w:ascii="Times New Roman" w:hAnsi="Times New Roman"/>
          <w:lang w:eastAsia="zh-CN"/>
        </w:rPr>
        <w:t>新一轮科技革命和产业变革</w:t>
      </w:r>
      <w:r>
        <w:rPr>
          <w:rFonts w:hint="eastAsia" w:ascii="Times New Roman" w:hAnsi="Times New Roman"/>
        </w:rPr>
        <w:t>，正在重塑生产方式与就业结构，产业界</w:t>
      </w:r>
      <w:r>
        <w:rPr>
          <w:rFonts w:hint="eastAsia" w:ascii="Times New Roman" w:hAnsi="Times New Roman"/>
          <w:lang w:eastAsia="zh-CN"/>
        </w:rPr>
        <w:t>亟须</w:t>
      </w:r>
      <w:r>
        <w:rPr>
          <w:rFonts w:hint="eastAsia" w:ascii="Times New Roman" w:hAnsi="Times New Roman"/>
        </w:rPr>
        <w:t>一大批既掌握扎实理论基础，又具备精湛技术应用能力、强大工程实践能力和持续创新能力的高素质应用型人才。应用型大学正是这类人才培养的主阵地。“双优”工程通过国家层面的政策引导和资源聚焦，遴选并建设一批标杆院校，引领应用型大学整体提质，构建起与产业结构高度匹配的类型化高等教育体系，为培育新质生产力提供坚实的人才与智力支撑。</w:t>
      </w:r>
    </w:p>
    <w:p>
      <w:pPr>
        <w:pStyle w:val="25"/>
        <w:rPr>
          <w:rFonts w:ascii="Times New Roman" w:hAnsi="Times New Roman"/>
        </w:rPr>
      </w:pPr>
      <w:r>
        <w:rPr>
          <w:rFonts w:hint="eastAsia" w:ascii="Times New Roman" w:hAnsi="Times New Roman"/>
        </w:rPr>
        <w:t>其次，这是推动高等教育分类发展、破解“中部塌陷”困境的内在要求。过去10年，应用型大学转型让许多地方高校找到了自身定位，摆脱了“千校一面”的困境。但多数应用型大学仍面临“中部塌陷”的尴尬：与研究型大学相比，缺乏高深的学术积淀和原始创新能力；与职业院校相比，技能训练的精度和深度又显不足。这种“高不成、低不就”的状态使其在传统评价体系中备受挤压。“双优”工程为应用型大学量身打造了全新的评价体系与发展赛道，使其彻底摆脱追赶研究型大学的路径依赖。</w:t>
      </w:r>
    </w:p>
    <w:p>
      <w:pPr>
        <w:pStyle w:val="25"/>
        <w:rPr>
          <w:rFonts w:ascii="Times New Roman" w:hAnsi="Times New Roman"/>
        </w:rPr>
      </w:pPr>
      <w:r>
        <w:rPr>
          <w:rFonts w:hint="eastAsia" w:ascii="Times New Roman" w:hAnsi="Times New Roman"/>
        </w:rPr>
        <w:t>至此，应用型大学“双优”工程与研究型大学“双一流”、职业院校“新双高”并行，共同构筑了中国特色高等教育“三足鼎立”的新格局，引导各类型高校各安其位、各展所长，在各自赛道上深耕特色、高质量发展。</w:t>
      </w:r>
    </w:p>
    <w:p>
      <w:pPr>
        <w:pStyle w:val="25"/>
        <w:rPr>
          <w:rFonts w:ascii="Times New Roman" w:hAnsi="Times New Roman"/>
        </w:rPr>
      </w:pPr>
      <w:r>
        <w:rPr>
          <w:rFonts w:hint="eastAsia" w:ascii="Times New Roman" w:hAnsi="Times New Roman"/>
        </w:rPr>
        <w:t>办学能力优质是“根”，服务区域经济社会发展优秀是“果”。二者如一体之两翼，相互依存、互为支撑，统一于高水平应用型大学建设的全过程。</w:t>
      </w:r>
    </w:p>
    <w:p>
      <w:pPr>
        <w:pStyle w:val="25"/>
        <w:rPr>
          <w:rFonts w:ascii="Times New Roman" w:hAnsi="Times New Roman"/>
        </w:rPr>
      </w:pPr>
      <w:r>
        <w:rPr>
          <w:rFonts w:hint="eastAsia" w:ascii="Times New Roman" w:hAnsi="Times New Roman"/>
        </w:rPr>
        <w:t>办学能力优质是强校之基，核心在于内涵做实。它要求大学回归教育本源，将“应用型”这一类型特质，系统性、全链条地融入人才培养、师资建设、课程体系、科研组织、质量保障等办学治校的每一个环节。其目标是练好服务区域发展的“内功”，将应用型大学的“筋骨”锤炼得更强壮，特色擦拭得更闪亮。</w:t>
      </w:r>
    </w:p>
    <w:p>
      <w:pPr>
        <w:pStyle w:val="25"/>
        <w:rPr>
          <w:rFonts w:ascii="Times New Roman" w:hAnsi="Times New Roman"/>
        </w:rPr>
      </w:pPr>
      <w:r>
        <w:rPr>
          <w:rFonts w:hint="eastAsia" w:ascii="Times New Roman" w:hAnsi="Times New Roman"/>
        </w:rPr>
        <w:t>服务区域经济社会发展是兴校之道，核心在于价值做显。一所大学办得好不好，不能只看发表了多少篇论文、申请</w:t>
      </w:r>
      <w:bookmarkStart w:id="25" w:name="_GoBack"/>
      <w:bookmarkEnd w:id="25"/>
      <w:r>
        <w:rPr>
          <w:rFonts w:hint="eastAsia" w:ascii="Times New Roman" w:hAnsi="Times New Roman"/>
        </w:rPr>
        <w:t>了多少项专利，更要看区域对它的认可度和依赖度，看它是否能做到“人丁兴旺、门庭若市”。这要求大学必须跳出教育看教育，主动将自身发展融入城市和区域的宏大叙事中，不断提升大学的城市贡献力和产业服务力，最终实现学校发展融入区域发展、学科专业发展融入产业发展、学生发展融入职业发展，将学校办成城市共生型大学、产业伙伴型大学。</w:t>
      </w:r>
    </w:p>
    <w:p>
      <w:pPr>
        <w:pStyle w:val="25"/>
        <w:rPr>
          <w:rFonts w:ascii="Times New Roman" w:hAnsi="Times New Roman"/>
        </w:rPr>
      </w:pPr>
      <w:r>
        <w:rPr>
          <w:rFonts w:hint="eastAsia" w:ascii="Times New Roman" w:hAnsi="Times New Roman"/>
        </w:rPr>
        <w:t>当然，“双优”工程不可能通过对传统办学模式的修修补补来实现，必须厘清以下“三大”系统性重塑，方能突围。</w:t>
      </w:r>
    </w:p>
    <w:p>
      <w:pPr>
        <w:pStyle w:val="25"/>
        <w:rPr>
          <w:rFonts w:ascii="Times New Roman" w:hAnsi="Times New Roman"/>
        </w:rPr>
      </w:pPr>
      <w:r>
        <w:rPr>
          <w:rFonts w:hint="eastAsia" w:ascii="Times New Roman" w:hAnsi="Times New Roman"/>
        </w:rPr>
        <w:t>一是重塑大学内部治理。高水平应用型大学的内部运行逻辑必须彻底变革。首先，在组织架构上，应打破传统“学院-学系”的学科壁垒，围绕区域产业链，重组设立产业学院等新型组织。其次，在评价激励上，必须改革以论文为核心的传统评价体系，构建一套突出“实践贡献”与“产业服务”的“双师型”教师分类评价新标准，提升横向课题、技术转化、社会服务等指标的权重。最后，在资源配置上，要摒弃“撒胡椒面”的分配方式，建立以服务区域贡献度和产教融合成效为核心的绩效投入模型。</w:t>
      </w:r>
    </w:p>
    <w:p>
      <w:pPr>
        <w:pStyle w:val="25"/>
        <w:rPr>
          <w:rFonts w:ascii="Times New Roman" w:hAnsi="Times New Roman"/>
        </w:rPr>
      </w:pPr>
      <w:r>
        <w:rPr>
          <w:rFonts w:hint="eastAsia" w:ascii="Times New Roman" w:hAnsi="Times New Roman"/>
        </w:rPr>
        <w:t>二是重塑大学与产业的关系。高水平应用型大学与产业的关系必须超越实习、讲座等浅层互动，走向“产教融合”的深度一体化模式。其关键在于联手地方政府与龙头企业，共建产业学院、公共技术服务平台、中试基地等实体化合作载体。在这些平台上，企业的真实项目即学生的学习课题，企业的技术难题则直接转化为教师的科研方向，从而形成利益共享、风险共担的紧密捆绑机制。</w:t>
      </w:r>
    </w:p>
    <w:p>
      <w:pPr>
        <w:pStyle w:val="25"/>
        <w:rPr>
          <w:rFonts w:ascii="Times New Roman" w:hAnsi="Times New Roman"/>
        </w:rPr>
      </w:pPr>
      <w:r>
        <w:rPr>
          <w:rFonts w:hint="eastAsia" w:ascii="Times New Roman" w:hAnsi="Times New Roman"/>
        </w:rPr>
        <w:t>三是重塑大学与城市的关系。高水平应用型大学应从游离于城市之外的“象牙塔”转变为与城市共生共荣的“心脏”和“大脑”。这需要拆除物理与思想的“围墙”：一方面，将大学的实验室、图书馆等资源向社会有序开放，成为城市公共服务的一部分；另一方面，将城市产业园、创新街区等作为大学的“无界课堂”和“开放实验室”。</w:t>
      </w:r>
    </w:p>
    <w:p>
      <w:pPr>
        <w:pStyle w:val="25"/>
        <w:rPr>
          <w:rFonts w:ascii="Times New Roman" w:hAnsi="Times New Roman"/>
        </w:rPr>
      </w:pPr>
      <w:r>
        <w:rPr>
          <w:rFonts w:hint="eastAsia" w:ascii="Times New Roman" w:hAnsi="Times New Roman"/>
        </w:rPr>
        <w:t>大学的战略规划也必须与城市发展蓝图同频共振，主动承担起城市产业升级“智库”、市民终身学习“枢纽”和文化创新“引擎”的角色，最终实现校因城兴、城因校盛的共生发展格局。</w:t>
      </w:r>
    </w:p>
    <w:p>
      <w:pPr>
        <w:pStyle w:val="25"/>
        <w:rPr>
          <w:rFonts w:ascii="Times New Roman" w:hAnsi="Times New Roman" w:cs="宋体"/>
        </w:rPr>
      </w:pPr>
      <w:r>
        <w:rPr>
          <w:rFonts w:hint="eastAsia" w:ascii="Times New Roman" w:hAnsi="Times New Roman"/>
        </w:rPr>
        <w:t>（摘编自《中国青年报》202</w:t>
      </w:r>
      <w:r>
        <w:rPr>
          <w:rFonts w:ascii="Times New Roman" w:hAnsi="Times New Roman"/>
        </w:rPr>
        <w:t>6</w:t>
      </w:r>
      <w:r>
        <w:rPr>
          <w:rFonts w:hint="eastAsia" w:ascii="Times New Roman" w:hAnsi="Times New Roman"/>
        </w:rPr>
        <w:t>年</w:t>
      </w:r>
      <w:r>
        <w:rPr>
          <w:rFonts w:ascii="Times New Roman" w:hAnsi="Times New Roman"/>
        </w:rPr>
        <w:t>05</w:t>
      </w:r>
      <w:r>
        <w:rPr>
          <w:rFonts w:hint="eastAsia" w:ascii="Times New Roman" w:hAnsi="Times New Roman"/>
        </w:rPr>
        <w:t>月</w:t>
      </w:r>
      <w:r>
        <w:rPr>
          <w:rFonts w:ascii="Times New Roman" w:hAnsi="Times New Roman"/>
        </w:rPr>
        <w:t>08</w:t>
      </w:r>
      <w:r>
        <w:rPr>
          <w:rFonts w:hint="eastAsia" w:ascii="Times New Roman" w:hAnsi="Times New Roman"/>
        </w:rPr>
        <w:t>日第</w:t>
      </w:r>
      <w:r>
        <w:rPr>
          <w:rFonts w:ascii="Times New Roman" w:hAnsi="Times New Roman"/>
        </w:rPr>
        <w:t>03</w:t>
      </w:r>
      <w:r>
        <w:rPr>
          <w:rFonts w:hint="eastAsia" w:ascii="Times New Roman" w:hAnsi="Times New Roman"/>
        </w:rPr>
        <w:t>版</w:t>
      </w:r>
      <w:r>
        <w:rPr>
          <w:rFonts w:hint="eastAsia" w:ascii="Times New Roman" w:hAnsi="Times New Roman" w:cs="宋体"/>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1"/>
      </w:rPr>
    </w:pPr>
    <w:r>
      <w:rPr>
        <w:rFonts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pPr>
                                <w:pStyle w:val="9"/>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18</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606309393"/>
                    </w:sdtPr>
                    <w:sdtEndPr>
                      <w:rPr>
                        <w:sz w:val="21"/>
                      </w:rPr>
                    </w:sdtEndPr>
                    <w:sdtContent>
                      <w:p>
                        <w:pPr>
                          <w:pStyle w:val="9"/>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18</w:t>
                        </w:r>
                        <w:r>
                          <w:rPr>
                            <w:rFonts w:ascii="Times New Roman" w:hAnsi="Times New Roman" w:cs="Times New Roman"/>
                            <w:sz w:val="21"/>
                          </w:rPr>
                          <w:fldChar w:fldCharType="end"/>
                        </w:r>
                      </w:p>
                    </w:sdtContent>
                  </w:sdt>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esBQA/0GWjLgAAAA=="/>
    <w:docVar w:name="commondata" w:val="eyJoZGlkIjoiOTc1YmQ4NzVkNzBhYzFlYTU5ZDgyZWQ1Njg3OTBlMzcifQ=="/>
  </w:docVars>
  <w:rsids>
    <w:rsidRoot w:val="004B688C"/>
    <w:rsid w:val="000001B5"/>
    <w:rsid w:val="00000ABD"/>
    <w:rsid w:val="00001A08"/>
    <w:rsid w:val="0000269C"/>
    <w:rsid w:val="000063C0"/>
    <w:rsid w:val="00006D06"/>
    <w:rsid w:val="00007E16"/>
    <w:rsid w:val="00010EA8"/>
    <w:rsid w:val="00011A99"/>
    <w:rsid w:val="00011CF8"/>
    <w:rsid w:val="00013D4D"/>
    <w:rsid w:val="00014D6A"/>
    <w:rsid w:val="00015234"/>
    <w:rsid w:val="00015CDE"/>
    <w:rsid w:val="00016C98"/>
    <w:rsid w:val="000200AB"/>
    <w:rsid w:val="00022005"/>
    <w:rsid w:val="00022852"/>
    <w:rsid w:val="00023930"/>
    <w:rsid w:val="00024162"/>
    <w:rsid w:val="0002669C"/>
    <w:rsid w:val="000310EA"/>
    <w:rsid w:val="000317E2"/>
    <w:rsid w:val="00032B78"/>
    <w:rsid w:val="00033527"/>
    <w:rsid w:val="00034D5A"/>
    <w:rsid w:val="0003558F"/>
    <w:rsid w:val="00041DFD"/>
    <w:rsid w:val="000444D4"/>
    <w:rsid w:val="00046710"/>
    <w:rsid w:val="00050952"/>
    <w:rsid w:val="00052EBC"/>
    <w:rsid w:val="000542CA"/>
    <w:rsid w:val="000564F5"/>
    <w:rsid w:val="00057D49"/>
    <w:rsid w:val="00060A03"/>
    <w:rsid w:val="00062FFE"/>
    <w:rsid w:val="00064AA1"/>
    <w:rsid w:val="000650A5"/>
    <w:rsid w:val="000655B0"/>
    <w:rsid w:val="00066046"/>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5A96"/>
    <w:rsid w:val="00086BCF"/>
    <w:rsid w:val="00086D48"/>
    <w:rsid w:val="0009446D"/>
    <w:rsid w:val="00094B94"/>
    <w:rsid w:val="00096E6D"/>
    <w:rsid w:val="00097EEA"/>
    <w:rsid w:val="000A2D84"/>
    <w:rsid w:val="000A47D4"/>
    <w:rsid w:val="000A5682"/>
    <w:rsid w:val="000A7B20"/>
    <w:rsid w:val="000B04C6"/>
    <w:rsid w:val="000B0598"/>
    <w:rsid w:val="000B0B58"/>
    <w:rsid w:val="000B1806"/>
    <w:rsid w:val="000B314B"/>
    <w:rsid w:val="000B362E"/>
    <w:rsid w:val="000B39D7"/>
    <w:rsid w:val="000B3B1D"/>
    <w:rsid w:val="000B3DE4"/>
    <w:rsid w:val="000B40C5"/>
    <w:rsid w:val="000B5EF6"/>
    <w:rsid w:val="000B6450"/>
    <w:rsid w:val="000B651A"/>
    <w:rsid w:val="000B70BF"/>
    <w:rsid w:val="000B798A"/>
    <w:rsid w:val="000C0071"/>
    <w:rsid w:val="000C05DB"/>
    <w:rsid w:val="000C082C"/>
    <w:rsid w:val="000C0FE8"/>
    <w:rsid w:val="000C1329"/>
    <w:rsid w:val="000C3E50"/>
    <w:rsid w:val="000C4461"/>
    <w:rsid w:val="000C5B69"/>
    <w:rsid w:val="000C682C"/>
    <w:rsid w:val="000C7F75"/>
    <w:rsid w:val="000D0184"/>
    <w:rsid w:val="000D04AB"/>
    <w:rsid w:val="000D065B"/>
    <w:rsid w:val="000D067A"/>
    <w:rsid w:val="000D2517"/>
    <w:rsid w:val="000D360F"/>
    <w:rsid w:val="000D3C20"/>
    <w:rsid w:val="000D47CC"/>
    <w:rsid w:val="000D4952"/>
    <w:rsid w:val="000D4953"/>
    <w:rsid w:val="000D709B"/>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1CD0"/>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B17"/>
    <w:rsid w:val="00121E56"/>
    <w:rsid w:val="00122375"/>
    <w:rsid w:val="00122C89"/>
    <w:rsid w:val="001235E3"/>
    <w:rsid w:val="001235EC"/>
    <w:rsid w:val="0012501A"/>
    <w:rsid w:val="0012550F"/>
    <w:rsid w:val="001259C4"/>
    <w:rsid w:val="0012771B"/>
    <w:rsid w:val="00127B7B"/>
    <w:rsid w:val="001359D9"/>
    <w:rsid w:val="00136191"/>
    <w:rsid w:val="00136EA6"/>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AB1"/>
    <w:rsid w:val="001555A4"/>
    <w:rsid w:val="001578AC"/>
    <w:rsid w:val="00161483"/>
    <w:rsid w:val="0016193F"/>
    <w:rsid w:val="00161D09"/>
    <w:rsid w:val="001631D1"/>
    <w:rsid w:val="00163315"/>
    <w:rsid w:val="00165164"/>
    <w:rsid w:val="00165B4C"/>
    <w:rsid w:val="00166718"/>
    <w:rsid w:val="00175237"/>
    <w:rsid w:val="0017664A"/>
    <w:rsid w:val="00177040"/>
    <w:rsid w:val="00181788"/>
    <w:rsid w:val="00181AD2"/>
    <w:rsid w:val="00184092"/>
    <w:rsid w:val="00184135"/>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0F7A"/>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668F"/>
    <w:rsid w:val="001D7B3B"/>
    <w:rsid w:val="001D7E85"/>
    <w:rsid w:val="001E0737"/>
    <w:rsid w:val="001E19E6"/>
    <w:rsid w:val="001E3D49"/>
    <w:rsid w:val="001E4873"/>
    <w:rsid w:val="001E4FBE"/>
    <w:rsid w:val="001E6351"/>
    <w:rsid w:val="001E73B7"/>
    <w:rsid w:val="001E7D16"/>
    <w:rsid w:val="001F07E6"/>
    <w:rsid w:val="001F0F48"/>
    <w:rsid w:val="001F2AEC"/>
    <w:rsid w:val="001F3B59"/>
    <w:rsid w:val="001F3F9C"/>
    <w:rsid w:val="001F42E9"/>
    <w:rsid w:val="001F4442"/>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2E38"/>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0FE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30D"/>
    <w:rsid w:val="002827C6"/>
    <w:rsid w:val="0028405D"/>
    <w:rsid w:val="00285762"/>
    <w:rsid w:val="00286474"/>
    <w:rsid w:val="00286603"/>
    <w:rsid w:val="0029125C"/>
    <w:rsid w:val="0029482E"/>
    <w:rsid w:val="00297A20"/>
    <w:rsid w:val="00297F38"/>
    <w:rsid w:val="002A06E5"/>
    <w:rsid w:val="002A1DB2"/>
    <w:rsid w:val="002A2552"/>
    <w:rsid w:val="002A3B03"/>
    <w:rsid w:val="002A42F9"/>
    <w:rsid w:val="002A4E29"/>
    <w:rsid w:val="002A606C"/>
    <w:rsid w:val="002B06EF"/>
    <w:rsid w:val="002B095F"/>
    <w:rsid w:val="002B248B"/>
    <w:rsid w:val="002B2C71"/>
    <w:rsid w:val="002B6D16"/>
    <w:rsid w:val="002B6E17"/>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298"/>
    <w:rsid w:val="002F3F9B"/>
    <w:rsid w:val="002F4247"/>
    <w:rsid w:val="002F503B"/>
    <w:rsid w:val="002F6236"/>
    <w:rsid w:val="0030072D"/>
    <w:rsid w:val="00301174"/>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0D63"/>
    <w:rsid w:val="003310AF"/>
    <w:rsid w:val="00331E10"/>
    <w:rsid w:val="00332E55"/>
    <w:rsid w:val="003333A1"/>
    <w:rsid w:val="00333B35"/>
    <w:rsid w:val="00333CD5"/>
    <w:rsid w:val="00333E78"/>
    <w:rsid w:val="00333F69"/>
    <w:rsid w:val="00335F80"/>
    <w:rsid w:val="00341FCA"/>
    <w:rsid w:val="00342846"/>
    <w:rsid w:val="003440C0"/>
    <w:rsid w:val="0035100E"/>
    <w:rsid w:val="00352066"/>
    <w:rsid w:val="003536F7"/>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D62B5"/>
    <w:rsid w:val="003E0074"/>
    <w:rsid w:val="003E0119"/>
    <w:rsid w:val="003E0A6F"/>
    <w:rsid w:val="003E0E88"/>
    <w:rsid w:val="003E193D"/>
    <w:rsid w:val="003E1B7D"/>
    <w:rsid w:val="003E388F"/>
    <w:rsid w:val="003E3FB5"/>
    <w:rsid w:val="003E40FA"/>
    <w:rsid w:val="003E69ED"/>
    <w:rsid w:val="003F0000"/>
    <w:rsid w:val="003F0643"/>
    <w:rsid w:val="003F1F18"/>
    <w:rsid w:val="003F221A"/>
    <w:rsid w:val="003F350C"/>
    <w:rsid w:val="003F352E"/>
    <w:rsid w:val="003F5976"/>
    <w:rsid w:val="003F7A20"/>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16E4"/>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5629"/>
    <w:rsid w:val="004565E3"/>
    <w:rsid w:val="0045702B"/>
    <w:rsid w:val="00457ABB"/>
    <w:rsid w:val="00457D56"/>
    <w:rsid w:val="00460F89"/>
    <w:rsid w:val="00461158"/>
    <w:rsid w:val="00461A94"/>
    <w:rsid w:val="004629F0"/>
    <w:rsid w:val="00463301"/>
    <w:rsid w:val="00463A3D"/>
    <w:rsid w:val="00464897"/>
    <w:rsid w:val="004672AB"/>
    <w:rsid w:val="00470868"/>
    <w:rsid w:val="004714DC"/>
    <w:rsid w:val="0047234E"/>
    <w:rsid w:val="0047245E"/>
    <w:rsid w:val="00472FB0"/>
    <w:rsid w:val="004748CC"/>
    <w:rsid w:val="00475637"/>
    <w:rsid w:val="00475E2E"/>
    <w:rsid w:val="00480C2C"/>
    <w:rsid w:val="0048205F"/>
    <w:rsid w:val="00482704"/>
    <w:rsid w:val="00482888"/>
    <w:rsid w:val="00483579"/>
    <w:rsid w:val="00485628"/>
    <w:rsid w:val="004858B3"/>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1C0C"/>
    <w:rsid w:val="004A1C30"/>
    <w:rsid w:val="004A23A0"/>
    <w:rsid w:val="004A2580"/>
    <w:rsid w:val="004A28D5"/>
    <w:rsid w:val="004A3495"/>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E60"/>
    <w:rsid w:val="004D0F27"/>
    <w:rsid w:val="004D0FC2"/>
    <w:rsid w:val="004D10A0"/>
    <w:rsid w:val="004D3785"/>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516"/>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28D1"/>
    <w:rsid w:val="00563525"/>
    <w:rsid w:val="005640AC"/>
    <w:rsid w:val="00564CE5"/>
    <w:rsid w:val="005661B9"/>
    <w:rsid w:val="00570D47"/>
    <w:rsid w:val="0057269B"/>
    <w:rsid w:val="00572AC6"/>
    <w:rsid w:val="00573696"/>
    <w:rsid w:val="005765E7"/>
    <w:rsid w:val="00576F0A"/>
    <w:rsid w:val="00580E4B"/>
    <w:rsid w:val="00580F2F"/>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3BF"/>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5BD9"/>
    <w:rsid w:val="005D62C4"/>
    <w:rsid w:val="005E09E4"/>
    <w:rsid w:val="005E1973"/>
    <w:rsid w:val="005E2AE1"/>
    <w:rsid w:val="005E34F5"/>
    <w:rsid w:val="005E3D74"/>
    <w:rsid w:val="005E4498"/>
    <w:rsid w:val="005E5E82"/>
    <w:rsid w:val="005E61A0"/>
    <w:rsid w:val="005E6949"/>
    <w:rsid w:val="005E70E8"/>
    <w:rsid w:val="005F0DB2"/>
    <w:rsid w:val="005F4EB6"/>
    <w:rsid w:val="005F7780"/>
    <w:rsid w:val="005F7BB5"/>
    <w:rsid w:val="006008F3"/>
    <w:rsid w:val="006011CF"/>
    <w:rsid w:val="00601CDE"/>
    <w:rsid w:val="00601F9C"/>
    <w:rsid w:val="006022D2"/>
    <w:rsid w:val="006030CA"/>
    <w:rsid w:val="00603D44"/>
    <w:rsid w:val="00605781"/>
    <w:rsid w:val="00605ECF"/>
    <w:rsid w:val="00606D84"/>
    <w:rsid w:val="00607C44"/>
    <w:rsid w:val="00610342"/>
    <w:rsid w:val="00610886"/>
    <w:rsid w:val="00611B44"/>
    <w:rsid w:val="00611CCC"/>
    <w:rsid w:val="00612E1F"/>
    <w:rsid w:val="00613616"/>
    <w:rsid w:val="00614021"/>
    <w:rsid w:val="00616C4A"/>
    <w:rsid w:val="006171A9"/>
    <w:rsid w:val="0062027B"/>
    <w:rsid w:val="00620753"/>
    <w:rsid w:val="00620985"/>
    <w:rsid w:val="00620BAC"/>
    <w:rsid w:val="00621A81"/>
    <w:rsid w:val="006227AD"/>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36513"/>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0BD6"/>
    <w:rsid w:val="00661A61"/>
    <w:rsid w:val="00661DF4"/>
    <w:rsid w:val="00663072"/>
    <w:rsid w:val="00663108"/>
    <w:rsid w:val="006649E0"/>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02B"/>
    <w:rsid w:val="006845D1"/>
    <w:rsid w:val="006853CE"/>
    <w:rsid w:val="00686D46"/>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76D1"/>
    <w:rsid w:val="006B06BF"/>
    <w:rsid w:val="006B172D"/>
    <w:rsid w:val="006B34A2"/>
    <w:rsid w:val="006B3B50"/>
    <w:rsid w:val="006B42C8"/>
    <w:rsid w:val="006B6874"/>
    <w:rsid w:val="006B69D8"/>
    <w:rsid w:val="006B7E5A"/>
    <w:rsid w:val="006C14D6"/>
    <w:rsid w:val="006C1A45"/>
    <w:rsid w:val="006C23F2"/>
    <w:rsid w:val="006C2A30"/>
    <w:rsid w:val="006C3F31"/>
    <w:rsid w:val="006C4D13"/>
    <w:rsid w:val="006C4F16"/>
    <w:rsid w:val="006C550B"/>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69A4"/>
    <w:rsid w:val="006E78E2"/>
    <w:rsid w:val="006F0BDB"/>
    <w:rsid w:val="006F142D"/>
    <w:rsid w:val="006F4E28"/>
    <w:rsid w:val="006F538D"/>
    <w:rsid w:val="006F5FC3"/>
    <w:rsid w:val="006F6199"/>
    <w:rsid w:val="006F6300"/>
    <w:rsid w:val="006F6438"/>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7F0"/>
    <w:rsid w:val="00722BDF"/>
    <w:rsid w:val="007240EB"/>
    <w:rsid w:val="00724BE7"/>
    <w:rsid w:val="0072786F"/>
    <w:rsid w:val="00727B06"/>
    <w:rsid w:val="007300D6"/>
    <w:rsid w:val="00731E49"/>
    <w:rsid w:val="007323D9"/>
    <w:rsid w:val="00734751"/>
    <w:rsid w:val="00735058"/>
    <w:rsid w:val="00735385"/>
    <w:rsid w:val="007369D0"/>
    <w:rsid w:val="007372E8"/>
    <w:rsid w:val="00737734"/>
    <w:rsid w:val="0074122D"/>
    <w:rsid w:val="00742A54"/>
    <w:rsid w:val="0074330F"/>
    <w:rsid w:val="007434CB"/>
    <w:rsid w:val="007449E2"/>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5D9C"/>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5D0F"/>
    <w:rsid w:val="00796348"/>
    <w:rsid w:val="007A0548"/>
    <w:rsid w:val="007A074D"/>
    <w:rsid w:val="007A0AF7"/>
    <w:rsid w:val="007A2B44"/>
    <w:rsid w:val="007A39A4"/>
    <w:rsid w:val="007A4A6C"/>
    <w:rsid w:val="007A4CC6"/>
    <w:rsid w:val="007A4CEE"/>
    <w:rsid w:val="007A760A"/>
    <w:rsid w:val="007B0D18"/>
    <w:rsid w:val="007B22C1"/>
    <w:rsid w:val="007B3C5C"/>
    <w:rsid w:val="007B3FAD"/>
    <w:rsid w:val="007B45F7"/>
    <w:rsid w:val="007B461D"/>
    <w:rsid w:val="007B4D1F"/>
    <w:rsid w:val="007B5FE7"/>
    <w:rsid w:val="007B717D"/>
    <w:rsid w:val="007B7A9F"/>
    <w:rsid w:val="007C0550"/>
    <w:rsid w:val="007C0651"/>
    <w:rsid w:val="007C182B"/>
    <w:rsid w:val="007C2342"/>
    <w:rsid w:val="007C23A5"/>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0EB"/>
    <w:rsid w:val="007D5D40"/>
    <w:rsid w:val="007D5D7D"/>
    <w:rsid w:val="007D6934"/>
    <w:rsid w:val="007D7605"/>
    <w:rsid w:val="007D7B04"/>
    <w:rsid w:val="007D7ED6"/>
    <w:rsid w:val="007E3C33"/>
    <w:rsid w:val="007E3CBD"/>
    <w:rsid w:val="007E4E71"/>
    <w:rsid w:val="007E5D1A"/>
    <w:rsid w:val="007E62E9"/>
    <w:rsid w:val="007E690B"/>
    <w:rsid w:val="007E6992"/>
    <w:rsid w:val="007E6EF2"/>
    <w:rsid w:val="007E72B1"/>
    <w:rsid w:val="007F09F8"/>
    <w:rsid w:val="007F0FB2"/>
    <w:rsid w:val="007F1ACD"/>
    <w:rsid w:val="007F1E5E"/>
    <w:rsid w:val="007F3333"/>
    <w:rsid w:val="007F3F46"/>
    <w:rsid w:val="007F4AD7"/>
    <w:rsid w:val="007F5F22"/>
    <w:rsid w:val="007F62B2"/>
    <w:rsid w:val="007F6533"/>
    <w:rsid w:val="007F6748"/>
    <w:rsid w:val="00801546"/>
    <w:rsid w:val="00802033"/>
    <w:rsid w:val="00802069"/>
    <w:rsid w:val="008026E5"/>
    <w:rsid w:val="00802D59"/>
    <w:rsid w:val="00805339"/>
    <w:rsid w:val="00805EC4"/>
    <w:rsid w:val="008068F8"/>
    <w:rsid w:val="00806C6A"/>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0E0"/>
    <w:rsid w:val="008362A3"/>
    <w:rsid w:val="00836640"/>
    <w:rsid w:val="00841916"/>
    <w:rsid w:val="008431E7"/>
    <w:rsid w:val="00843EAA"/>
    <w:rsid w:val="00843F66"/>
    <w:rsid w:val="008443A3"/>
    <w:rsid w:val="00847F97"/>
    <w:rsid w:val="008517D9"/>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19AE"/>
    <w:rsid w:val="0087321B"/>
    <w:rsid w:val="00874DF8"/>
    <w:rsid w:val="00876907"/>
    <w:rsid w:val="00882292"/>
    <w:rsid w:val="00882B15"/>
    <w:rsid w:val="00885B68"/>
    <w:rsid w:val="00885F29"/>
    <w:rsid w:val="00886D74"/>
    <w:rsid w:val="008905FB"/>
    <w:rsid w:val="00890E0B"/>
    <w:rsid w:val="00890E54"/>
    <w:rsid w:val="00895486"/>
    <w:rsid w:val="00897E2B"/>
    <w:rsid w:val="008A01EC"/>
    <w:rsid w:val="008A08F5"/>
    <w:rsid w:val="008A4556"/>
    <w:rsid w:val="008A7904"/>
    <w:rsid w:val="008A7A6D"/>
    <w:rsid w:val="008A7BD8"/>
    <w:rsid w:val="008A7C1E"/>
    <w:rsid w:val="008B03AD"/>
    <w:rsid w:val="008B1024"/>
    <w:rsid w:val="008B25A1"/>
    <w:rsid w:val="008B2AC8"/>
    <w:rsid w:val="008B3FBA"/>
    <w:rsid w:val="008B5598"/>
    <w:rsid w:val="008B5F20"/>
    <w:rsid w:val="008B7031"/>
    <w:rsid w:val="008B73BC"/>
    <w:rsid w:val="008C0F69"/>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2FBE"/>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031"/>
    <w:rsid w:val="0094095A"/>
    <w:rsid w:val="00941387"/>
    <w:rsid w:val="00942360"/>
    <w:rsid w:val="00942F3E"/>
    <w:rsid w:val="00943832"/>
    <w:rsid w:val="00944421"/>
    <w:rsid w:val="00946DDD"/>
    <w:rsid w:val="00950DF0"/>
    <w:rsid w:val="00951259"/>
    <w:rsid w:val="009520DB"/>
    <w:rsid w:val="00952607"/>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55E3"/>
    <w:rsid w:val="00976780"/>
    <w:rsid w:val="00977759"/>
    <w:rsid w:val="00980F32"/>
    <w:rsid w:val="009838A5"/>
    <w:rsid w:val="009855A0"/>
    <w:rsid w:val="00992FFF"/>
    <w:rsid w:val="00995CD8"/>
    <w:rsid w:val="00996335"/>
    <w:rsid w:val="00996B61"/>
    <w:rsid w:val="0099746A"/>
    <w:rsid w:val="00997FDE"/>
    <w:rsid w:val="009A07C1"/>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6CA4"/>
    <w:rsid w:val="009C7066"/>
    <w:rsid w:val="009C77D7"/>
    <w:rsid w:val="009D0017"/>
    <w:rsid w:val="009D0B0E"/>
    <w:rsid w:val="009D22BF"/>
    <w:rsid w:val="009D3EBA"/>
    <w:rsid w:val="009D44C3"/>
    <w:rsid w:val="009D6A44"/>
    <w:rsid w:val="009D7881"/>
    <w:rsid w:val="009E007A"/>
    <w:rsid w:val="009E0D88"/>
    <w:rsid w:val="009E188E"/>
    <w:rsid w:val="009E1CCF"/>
    <w:rsid w:val="009E270D"/>
    <w:rsid w:val="009E3862"/>
    <w:rsid w:val="009E4BC4"/>
    <w:rsid w:val="009E4C1F"/>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262CD"/>
    <w:rsid w:val="00A306F2"/>
    <w:rsid w:val="00A313D2"/>
    <w:rsid w:val="00A3357D"/>
    <w:rsid w:val="00A34CE8"/>
    <w:rsid w:val="00A3578B"/>
    <w:rsid w:val="00A35D13"/>
    <w:rsid w:val="00A37728"/>
    <w:rsid w:val="00A378C2"/>
    <w:rsid w:val="00A37B60"/>
    <w:rsid w:val="00A40938"/>
    <w:rsid w:val="00A419C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5728"/>
    <w:rsid w:val="00A85DEE"/>
    <w:rsid w:val="00A86C03"/>
    <w:rsid w:val="00A9077F"/>
    <w:rsid w:val="00A93426"/>
    <w:rsid w:val="00A9377D"/>
    <w:rsid w:val="00A93ED8"/>
    <w:rsid w:val="00A93EFB"/>
    <w:rsid w:val="00A952A8"/>
    <w:rsid w:val="00A95D74"/>
    <w:rsid w:val="00A9608F"/>
    <w:rsid w:val="00A960BC"/>
    <w:rsid w:val="00A9646B"/>
    <w:rsid w:val="00A96B3D"/>
    <w:rsid w:val="00A973EF"/>
    <w:rsid w:val="00A977DB"/>
    <w:rsid w:val="00AA0E6C"/>
    <w:rsid w:val="00AA2A2F"/>
    <w:rsid w:val="00AA5008"/>
    <w:rsid w:val="00AA5115"/>
    <w:rsid w:val="00AA6782"/>
    <w:rsid w:val="00AB04AD"/>
    <w:rsid w:val="00AB10EC"/>
    <w:rsid w:val="00AB2A7A"/>
    <w:rsid w:val="00AB3886"/>
    <w:rsid w:val="00AB4595"/>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07A00"/>
    <w:rsid w:val="00B1259E"/>
    <w:rsid w:val="00B12EF1"/>
    <w:rsid w:val="00B14A73"/>
    <w:rsid w:val="00B15188"/>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04"/>
    <w:rsid w:val="00B3521B"/>
    <w:rsid w:val="00B3574D"/>
    <w:rsid w:val="00B37C4C"/>
    <w:rsid w:val="00B37CE9"/>
    <w:rsid w:val="00B406B2"/>
    <w:rsid w:val="00B409B2"/>
    <w:rsid w:val="00B411F0"/>
    <w:rsid w:val="00B41B73"/>
    <w:rsid w:val="00B41F2E"/>
    <w:rsid w:val="00B44484"/>
    <w:rsid w:val="00B44986"/>
    <w:rsid w:val="00B44C6C"/>
    <w:rsid w:val="00B45A4E"/>
    <w:rsid w:val="00B46D59"/>
    <w:rsid w:val="00B474C1"/>
    <w:rsid w:val="00B47A05"/>
    <w:rsid w:val="00B47C1A"/>
    <w:rsid w:val="00B501A9"/>
    <w:rsid w:val="00B50EE9"/>
    <w:rsid w:val="00B522A5"/>
    <w:rsid w:val="00B53686"/>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0C7"/>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0D3"/>
    <w:rsid w:val="00B878BF"/>
    <w:rsid w:val="00B87CB7"/>
    <w:rsid w:val="00B90336"/>
    <w:rsid w:val="00B90D33"/>
    <w:rsid w:val="00B918E2"/>
    <w:rsid w:val="00B91DF5"/>
    <w:rsid w:val="00B93924"/>
    <w:rsid w:val="00B93FD8"/>
    <w:rsid w:val="00B945C3"/>
    <w:rsid w:val="00B94885"/>
    <w:rsid w:val="00B94BB7"/>
    <w:rsid w:val="00B94EB2"/>
    <w:rsid w:val="00B969AE"/>
    <w:rsid w:val="00B979A4"/>
    <w:rsid w:val="00BA015D"/>
    <w:rsid w:val="00BA0C05"/>
    <w:rsid w:val="00BA1D9A"/>
    <w:rsid w:val="00BA2590"/>
    <w:rsid w:val="00BA312C"/>
    <w:rsid w:val="00BA402B"/>
    <w:rsid w:val="00BA4254"/>
    <w:rsid w:val="00BA48F4"/>
    <w:rsid w:val="00BA4EF7"/>
    <w:rsid w:val="00BA5861"/>
    <w:rsid w:val="00BA62E3"/>
    <w:rsid w:val="00BA6A68"/>
    <w:rsid w:val="00BA7AFC"/>
    <w:rsid w:val="00BB3E39"/>
    <w:rsid w:val="00BB5212"/>
    <w:rsid w:val="00BB5AB1"/>
    <w:rsid w:val="00BC0DE4"/>
    <w:rsid w:val="00BC0F63"/>
    <w:rsid w:val="00BC11C5"/>
    <w:rsid w:val="00BC1228"/>
    <w:rsid w:val="00BC366F"/>
    <w:rsid w:val="00BC532D"/>
    <w:rsid w:val="00BC5D30"/>
    <w:rsid w:val="00BC6C27"/>
    <w:rsid w:val="00BD10AE"/>
    <w:rsid w:val="00BD2524"/>
    <w:rsid w:val="00BD2CCF"/>
    <w:rsid w:val="00BD4670"/>
    <w:rsid w:val="00BD497D"/>
    <w:rsid w:val="00BD5745"/>
    <w:rsid w:val="00BD5BF2"/>
    <w:rsid w:val="00BD6A88"/>
    <w:rsid w:val="00BD6C8F"/>
    <w:rsid w:val="00BD79B0"/>
    <w:rsid w:val="00BE319C"/>
    <w:rsid w:val="00BE399A"/>
    <w:rsid w:val="00BE4F70"/>
    <w:rsid w:val="00BE50F0"/>
    <w:rsid w:val="00BE556B"/>
    <w:rsid w:val="00BE6357"/>
    <w:rsid w:val="00BE6651"/>
    <w:rsid w:val="00BE66A7"/>
    <w:rsid w:val="00BE6A27"/>
    <w:rsid w:val="00BE7486"/>
    <w:rsid w:val="00BF0429"/>
    <w:rsid w:val="00BF122C"/>
    <w:rsid w:val="00BF17CD"/>
    <w:rsid w:val="00BF3C4D"/>
    <w:rsid w:val="00BF3FBB"/>
    <w:rsid w:val="00BF4991"/>
    <w:rsid w:val="00BF5EB0"/>
    <w:rsid w:val="00BF61CF"/>
    <w:rsid w:val="00BF7CD0"/>
    <w:rsid w:val="00C01B56"/>
    <w:rsid w:val="00C02EAB"/>
    <w:rsid w:val="00C045EF"/>
    <w:rsid w:val="00C0475D"/>
    <w:rsid w:val="00C047C6"/>
    <w:rsid w:val="00C07444"/>
    <w:rsid w:val="00C11484"/>
    <w:rsid w:val="00C116D8"/>
    <w:rsid w:val="00C1175B"/>
    <w:rsid w:val="00C11DB3"/>
    <w:rsid w:val="00C14C05"/>
    <w:rsid w:val="00C14CDB"/>
    <w:rsid w:val="00C155C8"/>
    <w:rsid w:val="00C179A4"/>
    <w:rsid w:val="00C20C71"/>
    <w:rsid w:val="00C244A6"/>
    <w:rsid w:val="00C268EE"/>
    <w:rsid w:val="00C275B7"/>
    <w:rsid w:val="00C27D01"/>
    <w:rsid w:val="00C31333"/>
    <w:rsid w:val="00C328EE"/>
    <w:rsid w:val="00C33099"/>
    <w:rsid w:val="00C343D8"/>
    <w:rsid w:val="00C35616"/>
    <w:rsid w:val="00C36031"/>
    <w:rsid w:val="00C369C9"/>
    <w:rsid w:val="00C37C8B"/>
    <w:rsid w:val="00C37E12"/>
    <w:rsid w:val="00C4309B"/>
    <w:rsid w:val="00C43EAE"/>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2450"/>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B7EF7"/>
    <w:rsid w:val="00CC029A"/>
    <w:rsid w:val="00CC04F3"/>
    <w:rsid w:val="00CC09A3"/>
    <w:rsid w:val="00CC0ED0"/>
    <w:rsid w:val="00CC186D"/>
    <w:rsid w:val="00CC2646"/>
    <w:rsid w:val="00CC5AD2"/>
    <w:rsid w:val="00CC6521"/>
    <w:rsid w:val="00CD0E36"/>
    <w:rsid w:val="00CD227A"/>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1A35"/>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2836"/>
    <w:rsid w:val="00D435EA"/>
    <w:rsid w:val="00D4365F"/>
    <w:rsid w:val="00D44A88"/>
    <w:rsid w:val="00D45A65"/>
    <w:rsid w:val="00D46A6E"/>
    <w:rsid w:val="00D500B9"/>
    <w:rsid w:val="00D5063D"/>
    <w:rsid w:val="00D50C46"/>
    <w:rsid w:val="00D5189C"/>
    <w:rsid w:val="00D520F0"/>
    <w:rsid w:val="00D53F80"/>
    <w:rsid w:val="00D5489A"/>
    <w:rsid w:val="00D57E14"/>
    <w:rsid w:val="00D61642"/>
    <w:rsid w:val="00D6173C"/>
    <w:rsid w:val="00D61E62"/>
    <w:rsid w:val="00D61F48"/>
    <w:rsid w:val="00D6278D"/>
    <w:rsid w:val="00D627AA"/>
    <w:rsid w:val="00D63446"/>
    <w:rsid w:val="00D64F93"/>
    <w:rsid w:val="00D6543F"/>
    <w:rsid w:val="00D65AF2"/>
    <w:rsid w:val="00D65FAB"/>
    <w:rsid w:val="00D70381"/>
    <w:rsid w:val="00D71BA2"/>
    <w:rsid w:val="00D72FDA"/>
    <w:rsid w:val="00D73A72"/>
    <w:rsid w:val="00D74150"/>
    <w:rsid w:val="00D74183"/>
    <w:rsid w:val="00D748AC"/>
    <w:rsid w:val="00D753DB"/>
    <w:rsid w:val="00D75F35"/>
    <w:rsid w:val="00D76B50"/>
    <w:rsid w:val="00D76D73"/>
    <w:rsid w:val="00D76EE1"/>
    <w:rsid w:val="00D778BA"/>
    <w:rsid w:val="00D825A7"/>
    <w:rsid w:val="00D83422"/>
    <w:rsid w:val="00D852D8"/>
    <w:rsid w:val="00D85DDB"/>
    <w:rsid w:val="00D87473"/>
    <w:rsid w:val="00D91BBE"/>
    <w:rsid w:val="00D91E9B"/>
    <w:rsid w:val="00D92539"/>
    <w:rsid w:val="00D93139"/>
    <w:rsid w:val="00D95754"/>
    <w:rsid w:val="00D96719"/>
    <w:rsid w:val="00D96B85"/>
    <w:rsid w:val="00DA0181"/>
    <w:rsid w:val="00DA0507"/>
    <w:rsid w:val="00DA0C44"/>
    <w:rsid w:val="00DA2389"/>
    <w:rsid w:val="00DA28B1"/>
    <w:rsid w:val="00DA2D76"/>
    <w:rsid w:val="00DA315C"/>
    <w:rsid w:val="00DA4B7B"/>
    <w:rsid w:val="00DA4C8D"/>
    <w:rsid w:val="00DA5493"/>
    <w:rsid w:val="00DA6AB6"/>
    <w:rsid w:val="00DA6CCA"/>
    <w:rsid w:val="00DB01FF"/>
    <w:rsid w:val="00DB1949"/>
    <w:rsid w:val="00DB2C0E"/>
    <w:rsid w:val="00DB65A4"/>
    <w:rsid w:val="00DC2A03"/>
    <w:rsid w:val="00DC39F5"/>
    <w:rsid w:val="00DC3CB8"/>
    <w:rsid w:val="00DC3D7F"/>
    <w:rsid w:val="00DC41B8"/>
    <w:rsid w:val="00DC5537"/>
    <w:rsid w:val="00DC6596"/>
    <w:rsid w:val="00DC7097"/>
    <w:rsid w:val="00DC7276"/>
    <w:rsid w:val="00DC787C"/>
    <w:rsid w:val="00DD1E06"/>
    <w:rsid w:val="00DD1F95"/>
    <w:rsid w:val="00DD329A"/>
    <w:rsid w:val="00DD4D1E"/>
    <w:rsid w:val="00DD5655"/>
    <w:rsid w:val="00DD578D"/>
    <w:rsid w:val="00DE170D"/>
    <w:rsid w:val="00DE17A7"/>
    <w:rsid w:val="00DE1AC7"/>
    <w:rsid w:val="00DE2BFF"/>
    <w:rsid w:val="00DE5E19"/>
    <w:rsid w:val="00DE70B4"/>
    <w:rsid w:val="00DE7816"/>
    <w:rsid w:val="00DF0175"/>
    <w:rsid w:val="00DF0606"/>
    <w:rsid w:val="00DF0B4A"/>
    <w:rsid w:val="00DF1DA1"/>
    <w:rsid w:val="00DF2B34"/>
    <w:rsid w:val="00DF51B1"/>
    <w:rsid w:val="00DF7349"/>
    <w:rsid w:val="00E001A9"/>
    <w:rsid w:val="00E00200"/>
    <w:rsid w:val="00E02591"/>
    <w:rsid w:val="00E028E1"/>
    <w:rsid w:val="00E030D9"/>
    <w:rsid w:val="00E030E3"/>
    <w:rsid w:val="00E03191"/>
    <w:rsid w:val="00E04F2D"/>
    <w:rsid w:val="00E0627F"/>
    <w:rsid w:val="00E06C35"/>
    <w:rsid w:val="00E1160A"/>
    <w:rsid w:val="00E13244"/>
    <w:rsid w:val="00E137B3"/>
    <w:rsid w:val="00E14531"/>
    <w:rsid w:val="00E14C47"/>
    <w:rsid w:val="00E159E1"/>
    <w:rsid w:val="00E16296"/>
    <w:rsid w:val="00E16377"/>
    <w:rsid w:val="00E16A06"/>
    <w:rsid w:val="00E21587"/>
    <w:rsid w:val="00E25CA5"/>
    <w:rsid w:val="00E31663"/>
    <w:rsid w:val="00E33CD6"/>
    <w:rsid w:val="00E34568"/>
    <w:rsid w:val="00E3529B"/>
    <w:rsid w:val="00E3574C"/>
    <w:rsid w:val="00E357B0"/>
    <w:rsid w:val="00E376AE"/>
    <w:rsid w:val="00E378C4"/>
    <w:rsid w:val="00E4035B"/>
    <w:rsid w:val="00E41296"/>
    <w:rsid w:val="00E41BA7"/>
    <w:rsid w:val="00E43032"/>
    <w:rsid w:val="00E43831"/>
    <w:rsid w:val="00E43AE2"/>
    <w:rsid w:val="00E43CD6"/>
    <w:rsid w:val="00E43EAF"/>
    <w:rsid w:val="00E44DC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87D66"/>
    <w:rsid w:val="00E90CCA"/>
    <w:rsid w:val="00E921B3"/>
    <w:rsid w:val="00E9227D"/>
    <w:rsid w:val="00E93B12"/>
    <w:rsid w:val="00E950BA"/>
    <w:rsid w:val="00EA19F5"/>
    <w:rsid w:val="00EA1BBC"/>
    <w:rsid w:val="00EA2409"/>
    <w:rsid w:val="00EA27A4"/>
    <w:rsid w:val="00EA3513"/>
    <w:rsid w:val="00EA50E3"/>
    <w:rsid w:val="00EA5DBB"/>
    <w:rsid w:val="00EA5F04"/>
    <w:rsid w:val="00EA68B2"/>
    <w:rsid w:val="00EA741D"/>
    <w:rsid w:val="00EA745E"/>
    <w:rsid w:val="00EB00F5"/>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E3F"/>
    <w:rsid w:val="00F01F4D"/>
    <w:rsid w:val="00F02150"/>
    <w:rsid w:val="00F02A8E"/>
    <w:rsid w:val="00F04631"/>
    <w:rsid w:val="00F04645"/>
    <w:rsid w:val="00F06E49"/>
    <w:rsid w:val="00F074F7"/>
    <w:rsid w:val="00F10648"/>
    <w:rsid w:val="00F11BC5"/>
    <w:rsid w:val="00F11D36"/>
    <w:rsid w:val="00F12014"/>
    <w:rsid w:val="00F122BC"/>
    <w:rsid w:val="00F12F27"/>
    <w:rsid w:val="00F1315A"/>
    <w:rsid w:val="00F13421"/>
    <w:rsid w:val="00F138ED"/>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4EA3"/>
    <w:rsid w:val="00F46118"/>
    <w:rsid w:val="00F46BCB"/>
    <w:rsid w:val="00F50174"/>
    <w:rsid w:val="00F50399"/>
    <w:rsid w:val="00F5138F"/>
    <w:rsid w:val="00F51A6E"/>
    <w:rsid w:val="00F51FE6"/>
    <w:rsid w:val="00F53668"/>
    <w:rsid w:val="00F53CEA"/>
    <w:rsid w:val="00F54436"/>
    <w:rsid w:val="00F54AAA"/>
    <w:rsid w:val="00F54CA8"/>
    <w:rsid w:val="00F5538E"/>
    <w:rsid w:val="00F554E6"/>
    <w:rsid w:val="00F568EB"/>
    <w:rsid w:val="00F56B2B"/>
    <w:rsid w:val="00F56F0D"/>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030"/>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26F2"/>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316"/>
    <w:rsid w:val="00FF1874"/>
    <w:rsid w:val="00FF4F61"/>
    <w:rsid w:val="00FF6E1E"/>
    <w:rsid w:val="00FF74AE"/>
    <w:rsid w:val="00FF7EFD"/>
    <w:rsid w:val="01142BEC"/>
    <w:rsid w:val="012409F8"/>
    <w:rsid w:val="01401564"/>
    <w:rsid w:val="01695955"/>
    <w:rsid w:val="01897192"/>
    <w:rsid w:val="01934780"/>
    <w:rsid w:val="01A20ABE"/>
    <w:rsid w:val="01C65C02"/>
    <w:rsid w:val="01C7267B"/>
    <w:rsid w:val="01D502A4"/>
    <w:rsid w:val="01D93B53"/>
    <w:rsid w:val="01F114A6"/>
    <w:rsid w:val="01F2467F"/>
    <w:rsid w:val="02196462"/>
    <w:rsid w:val="02196522"/>
    <w:rsid w:val="022067B7"/>
    <w:rsid w:val="02372644"/>
    <w:rsid w:val="023870D5"/>
    <w:rsid w:val="023B7300"/>
    <w:rsid w:val="023E4AEA"/>
    <w:rsid w:val="02411BDF"/>
    <w:rsid w:val="0244335F"/>
    <w:rsid w:val="02461746"/>
    <w:rsid w:val="02624152"/>
    <w:rsid w:val="026D3366"/>
    <w:rsid w:val="027A5EF4"/>
    <w:rsid w:val="028D026E"/>
    <w:rsid w:val="02906F11"/>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06AA0"/>
    <w:rsid w:val="03143DEC"/>
    <w:rsid w:val="03182B88"/>
    <w:rsid w:val="032458DA"/>
    <w:rsid w:val="0328539C"/>
    <w:rsid w:val="032A66B6"/>
    <w:rsid w:val="034562F5"/>
    <w:rsid w:val="03576735"/>
    <w:rsid w:val="0358799B"/>
    <w:rsid w:val="03595555"/>
    <w:rsid w:val="036C029C"/>
    <w:rsid w:val="036D2B34"/>
    <w:rsid w:val="037045C4"/>
    <w:rsid w:val="03764359"/>
    <w:rsid w:val="0394702E"/>
    <w:rsid w:val="0397458A"/>
    <w:rsid w:val="039E740C"/>
    <w:rsid w:val="03A13F91"/>
    <w:rsid w:val="03A827B6"/>
    <w:rsid w:val="03AF6750"/>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25376"/>
    <w:rsid w:val="04BC752A"/>
    <w:rsid w:val="04CB2483"/>
    <w:rsid w:val="04CB62A6"/>
    <w:rsid w:val="04CF37D6"/>
    <w:rsid w:val="04D319E0"/>
    <w:rsid w:val="04E2491B"/>
    <w:rsid w:val="04EF5863"/>
    <w:rsid w:val="04F87FC1"/>
    <w:rsid w:val="050463AD"/>
    <w:rsid w:val="050F535E"/>
    <w:rsid w:val="051B4450"/>
    <w:rsid w:val="0522381E"/>
    <w:rsid w:val="05291A54"/>
    <w:rsid w:val="0535380D"/>
    <w:rsid w:val="05425315"/>
    <w:rsid w:val="055A3E7C"/>
    <w:rsid w:val="056D7096"/>
    <w:rsid w:val="057D03CF"/>
    <w:rsid w:val="05867074"/>
    <w:rsid w:val="05873EC3"/>
    <w:rsid w:val="059234FA"/>
    <w:rsid w:val="05993864"/>
    <w:rsid w:val="05A25958"/>
    <w:rsid w:val="05CE5990"/>
    <w:rsid w:val="05DA25C7"/>
    <w:rsid w:val="05DD246D"/>
    <w:rsid w:val="05E732EC"/>
    <w:rsid w:val="05EC2BDE"/>
    <w:rsid w:val="0607734B"/>
    <w:rsid w:val="0608074A"/>
    <w:rsid w:val="060851D3"/>
    <w:rsid w:val="060B528E"/>
    <w:rsid w:val="060C68AF"/>
    <w:rsid w:val="060E40A5"/>
    <w:rsid w:val="061B3B46"/>
    <w:rsid w:val="062275CE"/>
    <w:rsid w:val="06293905"/>
    <w:rsid w:val="06391BDF"/>
    <w:rsid w:val="063F37FB"/>
    <w:rsid w:val="06471F16"/>
    <w:rsid w:val="06594F1E"/>
    <w:rsid w:val="06614BB6"/>
    <w:rsid w:val="068A4255"/>
    <w:rsid w:val="069F3BC7"/>
    <w:rsid w:val="06C0348C"/>
    <w:rsid w:val="06C62615"/>
    <w:rsid w:val="06D37F08"/>
    <w:rsid w:val="06D422E1"/>
    <w:rsid w:val="06DA22E9"/>
    <w:rsid w:val="070178DC"/>
    <w:rsid w:val="070761C8"/>
    <w:rsid w:val="070770AE"/>
    <w:rsid w:val="071874D5"/>
    <w:rsid w:val="073042BD"/>
    <w:rsid w:val="073A2192"/>
    <w:rsid w:val="07447AA9"/>
    <w:rsid w:val="074B1050"/>
    <w:rsid w:val="075C1AB8"/>
    <w:rsid w:val="07607AD1"/>
    <w:rsid w:val="07966475"/>
    <w:rsid w:val="07A70C3B"/>
    <w:rsid w:val="07D30D94"/>
    <w:rsid w:val="07DD5DDC"/>
    <w:rsid w:val="07E92A4F"/>
    <w:rsid w:val="07F57B8E"/>
    <w:rsid w:val="07F65A68"/>
    <w:rsid w:val="07F86536"/>
    <w:rsid w:val="08034961"/>
    <w:rsid w:val="080B5DF5"/>
    <w:rsid w:val="08353873"/>
    <w:rsid w:val="083B266E"/>
    <w:rsid w:val="084107A3"/>
    <w:rsid w:val="08554A8E"/>
    <w:rsid w:val="08735FE4"/>
    <w:rsid w:val="088000BE"/>
    <w:rsid w:val="089F7EAE"/>
    <w:rsid w:val="08BD614A"/>
    <w:rsid w:val="08C17591"/>
    <w:rsid w:val="08E37D2A"/>
    <w:rsid w:val="08E91129"/>
    <w:rsid w:val="08F63977"/>
    <w:rsid w:val="08FD362A"/>
    <w:rsid w:val="09051602"/>
    <w:rsid w:val="09095327"/>
    <w:rsid w:val="090B72E8"/>
    <w:rsid w:val="09241A75"/>
    <w:rsid w:val="093141B9"/>
    <w:rsid w:val="09383E5F"/>
    <w:rsid w:val="09393C7C"/>
    <w:rsid w:val="093E42C9"/>
    <w:rsid w:val="09440A55"/>
    <w:rsid w:val="09476394"/>
    <w:rsid w:val="095D1A76"/>
    <w:rsid w:val="09721512"/>
    <w:rsid w:val="09776735"/>
    <w:rsid w:val="097D7588"/>
    <w:rsid w:val="09807B86"/>
    <w:rsid w:val="09870294"/>
    <w:rsid w:val="099449EE"/>
    <w:rsid w:val="09A63A23"/>
    <w:rsid w:val="09A710A7"/>
    <w:rsid w:val="09B933B7"/>
    <w:rsid w:val="09BB65A3"/>
    <w:rsid w:val="09CE287D"/>
    <w:rsid w:val="09D06D2E"/>
    <w:rsid w:val="09EA134A"/>
    <w:rsid w:val="09F04EDB"/>
    <w:rsid w:val="0A0A5C3B"/>
    <w:rsid w:val="0A1366AC"/>
    <w:rsid w:val="0A1F1228"/>
    <w:rsid w:val="0A2C004F"/>
    <w:rsid w:val="0A2F2362"/>
    <w:rsid w:val="0A3663B3"/>
    <w:rsid w:val="0A387B78"/>
    <w:rsid w:val="0A3B7E36"/>
    <w:rsid w:val="0A514367"/>
    <w:rsid w:val="0A574B10"/>
    <w:rsid w:val="0A5847B8"/>
    <w:rsid w:val="0A5C749D"/>
    <w:rsid w:val="0A715ABF"/>
    <w:rsid w:val="0A726EFC"/>
    <w:rsid w:val="0A793C89"/>
    <w:rsid w:val="0A84735B"/>
    <w:rsid w:val="0A8B6EB4"/>
    <w:rsid w:val="0A8C50DD"/>
    <w:rsid w:val="0A8F6645"/>
    <w:rsid w:val="0ABF6006"/>
    <w:rsid w:val="0AC2018B"/>
    <w:rsid w:val="0AC23D52"/>
    <w:rsid w:val="0AD45770"/>
    <w:rsid w:val="0ADA484F"/>
    <w:rsid w:val="0ADB4BBA"/>
    <w:rsid w:val="0ADE0DD3"/>
    <w:rsid w:val="0B077F8D"/>
    <w:rsid w:val="0B116715"/>
    <w:rsid w:val="0B130A6D"/>
    <w:rsid w:val="0B137AF6"/>
    <w:rsid w:val="0B175CB8"/>
    <w:rsid w:val="0B291664"/>
    <w:rsid w:val="0B315168"/>
    <w:rsid w:val="0B380146"/>
    <w:rsid w:val="0B424B21"/>
    <w:rsid w:val="0B4D1E43"/>
    <w:rsid w:val="0B4E1717"/>
    <w:rsid w:val="0B517955"/>
    <w:rsid w:val="0B52745A"/>
    <w:rsid w:val="0B5B01CC"/>
    <w:rsid w:val="0B6E46A9"/>
    <w:rsid w:val="0B6F66A0"/>
    <w:rsid w:val="0B9C6927"/>
    <w:rsid w:val="0BA66253"/>
    <w:rsid w:val="0BB96F8E"/>
    <w:rsid w:val="0BC26057"/>
    <w:rsid w:val="0BC67500"/>
    <w:rsid w:val="0BE1507A"/>
    <w:rsid w:val="0BE512DE"/>
    <w:rsid w:val="0BEC55ED"/>
    <w:rsid w:val="0BFE548A"/>
    <w:rsid w:val="0C006EB6"/>
    <w:rsid w:val="0C050F76"/>
    <w:rsid w:val="0C071E58"/>
    <w:rsid w:val="0C0B585A"/>
    <w:rsid w:val="0C121985"/>
    <w:rsid w:val="0C366798"/>
    <w:rsid w:val="0C3F0147"/>
    <w:rsid w:val="0C5121F3"/>
    <w:rsid w:val="0C5F7347"/>
    <w:rsid w:val="0C6A38F3"/>
    <w:rsid w:val="0C9C30F1"/>
    <w:rsid w:val="0CA737D5"/>
    <w:rsid w:val="0CB82DA5"/>
    <w:rsid w:val="0CCF1440"/>
    <w:rsid w:val="0CD07FFE"/>
    <w:rsid w:val="0CDC4E28"/>
    <w:rsid w:val="0CF66B9E"/>
    <w:rsid w:val="0CF85DDF"/>
    <w:rsid w:val="0CF9064D"/>
    <w:rsid w:val="0D091B55"/>
    <w:rsid w:val="0D096743"/>
    <w:rsid w:val="0D0E38F3"/>
    <w:rsid w:val="0D0E4613"/>
    <w:rsid w:val="0D147914"/>
    <w:rsid w:val="0D1668F9"/>
    <w:rsid w:val="0D245C5C"/>
    <w:rsid w:val="0D266AB9"/>
    <w:rsid w:val="0D490908"/>
    <w:rsid w:val="0D4940E8"/>
    <w:rsid w:val="0D4D59CC"/>
    <w:rsid w:val="0D555789"/>
    <w:rsid w:val="0D7D0574"/>
    <w:rsid w:val="0D80134E"/>
    <w:rsid w:val="0D843EB4"/>
    <w:rsid w:val="0D8747F1"/>
    <w:rsid w:val="0DA55DAB"/>
    <w:rsid w:val="0DC14423"/>
    <w:rsid w:val="0DC87E20"/>
    <w:rsid w:val="0DCD726B"/>
    <w:rsid w:val="0DFA696E"/>
    <w:rsid w:val="0E3C4B30"/>
    <w:rsid w:val="0E410A0A"/>
    <w:rsid w:val="0E4C27D6"/>
    <w:rsid w:val="0E505E07"/>
    <w:rsid w:val="0E5367DD"/>
    <w:rsid w:val="0E570F48"/>
    <w:rsid w:val="0E630F86"/>
    <w:rsid w:val="0E6B7752"/>
    <w:rsid w:val="0E7245BB"/>
    <w:rsid w:val="0E736AB5"/>
    <w:rsid w:val="0E767C49"/>
    <w:rsid w:val="0E795AB6"/>
    <w:rsid w:val="0E7A3313"/>
    <w:rsid w:val="0E843054"/>
    <w:rsid w:val="0E861D96"/>
    <w:rsid w:val="0E8945B9"/>
    <w:rsid w:val="0E8B695C"/>
    <w:rsid w:val="0E911238"/>
    <w:rsid w:val="0EA54374"/>
    <w:rsid w:val="0EB45D35"/>
    <w:rsid w:val="0EB5426C"/>
    <w:rsid w:val="0EC46A94"/>
    <w:rsid w:val="0ECF02ED"/>
    <w:rsid w:val="0ED80276"/>
    <w:rsid w:val="0ED807A8"/>
    <w:rsid w:val="0EDC56C4"/>
    <w:rsid w:val="0EEE56EB"/>
    <w:rsid w:val="0F00541F"/>
    <w:rsid w:val="0F046D96"/>
    <w:rsid w:val="0F20409F"/>
    <w:rsid w:val="0F220931"/>
    <w:rsid w:val="0F224C5E"/>
    <w:rsid w:val="0F500FDA"/>
    <w:rsid w:val="0F834430"/>
    <w:rsid w:val="0F8C7B52"/>
    <w:rsid w:val="0F8E3D1B"/>
    <w:rsid w:val="0F9F35AE"/>
    <w:rsid w:val="0FA16F08"/>
    <w:rsid w:val="0FA521BB"/>
    <w:rsid w:val="0FA56F3B"/>
    <w:rsid w:val="0FA6205A"/>
    <w:rsid w:val="0FCE65E6"/>
    <w:rsid w:val="0FD95637"/>
    <w:rsid w:val="0FE0018F"/>
    <w:rsid w:val="0FF81AB3"/>
    <w:rsid w:val="0FFC29A0"/>
    <w:rsid w:val="100D343E"/>
    <w:rsid w:val="10203647"/>
    <w:rsid w:val="10463305"/>
    <w:rsid w:val="10476A4E"/>
    <w:rsid w:val="10484F64"/>
    <w:rsid w:val="104B7195"/>
    <w:rsid w:val="104D21C7"/>
    <w:rsid w:val="10536CB2"/>
    <w:rsid w:val="105416EB"/>
    <w:rsid w:val="10676E4F"/>
    <w:rsid w:val="10797237"/>
    <w:rsid w:val="10882799"/>
    <w:rsid w:val="108C5E7B"/>
    <w:rsid w:val="108F25B6"/>
    <w:rsid w:val="10906EAE"/>
    <w:rsid w:val="10934BB3"/>
    <w:rsid w:val="10C54E30"/>
    <w:rsid w:val="10C8348F"/>
    <w:rsid w:val="10CA1030"/>
    <w:rsid w:val="10CF51BA"/>
    <w:rsid w:val="10DB50DF"/>
    <w:rsid w:val="10E8710B"/>
    <w:rsid w:val="10E9512E"/>
    <w:rsid w:val="10F063E0"/>
    <w:rsid w:val="10F275BE"/>
    <w:rsid w:val="10FC4393"/>
    <w:rsid w:val="10FD0DE8"/>
    <w:rsid w:val="110F36F7"/>
    <w:rsid w:val="11194349"/>
    <w:rsid w:val="1122364C"/>
    <w:rsid w:val="113061A8"/>
    <w:rsid w:val="11331F0D"/>
    <w:rsid w:val="11352E2D"/>
    <w:rsid w:val="114619F6"/>
    <w:rsid w:val="11656C5F"/>
    <w:rsid w:val="11703C1B"/>
    <w:rsid w:val="117A647C"/>
    <w:rsid w:val="117C6AEC"/>
    <w:rsid w:val="1183008B"/>
    <w:rsid w:val="11964C5A"/>
    <w:rsid w:val="11AD3CB6"/>
    <w:rsid w:val="11B7711E"/>
    <w:rsid w:val="11BD20D6"/>
    <w:rsid w:val="11C11577"/>
    <w:rsid w:val="11C87B23"/>
    <w:rsid w:val="11D27C5A"/>
    <w:rsid w:val="11D861DF"/>
    <w:rsid w:val="121A06BD"/>
    <w:rsid w:val="121B012F"/>
    <w:rsid w:val="121E4813"/>
    <w:rsid w:val="123401D9"/>
    <w:rsid w:val="12415FD2"/>
    <w:rsid w:val="126D6927"/>
    <w:rsid w:val="12851EC3"/>
    <w:rsid w:val="12893611"/>
    <w:rsid w:val="129034F7"/>
    <w:rsid w:val="129B34C2"/>
    <w:rsid w:val="129D6328"/>
    <w:rsid w:val="12A3625C"/>
    <w:rsid w:val="12A43E94"/>
    <w:rsid w:val="12B97DBE"/>
    <w:rsid w:val="12C73654"/>
    <w:rsid w:val="12CC6329"/>
    <w:rsid w:val="12D573EC"/>
    <w:rsid w:val="12D814B9"/>
    <w:rsid w:val="12E11F59"/>
    <w:rsid w:val="12FF0B31"/>
    <w:rsid w:val="1304034C"/>
    <w:rsid w:val="13216B2C"/>
    <w:rsid w:val="134839D8"/>
    <w:rsid w:val="134B0CBE"/>
    <w:rsid w:val="13533AAD"/>
    <w:rsid w:val="136A730B"/>
    <w:rsid w:val="137141F5"/>
    <w:rsid w:val="137E321A"/>
    <w:rsid w:val="13833AF2"/>
    <w:rsid w:val="13912AE9"/>
    <w:rsid w:val="13B81E24"/>
    <w:rsid w:val="13B86770"/>
    <w:rsid w:val="13DE4FFB"/>
    <w:rsid w:val="13E70B74"/>
    <w:rsid w:val="13E75191"/>
    <w:rsid w:val="13F62EB8"/>
    <w:rsid w:val="14025795"/>
    <w:rsid w:val="140C0F1D"/>
    <w:rsid w:val="14273568"/>
    <w:rsid w:val="14284FC6"/>
    <w:rsid w:val="142D5F18"/>
    <w:rsid w:val="143F39F2"/>
    <w:rsid w:val="144908E9"/>
    <w:rsid w:val="14593D90"/>
    <w:rsid w:val="14601A7F"/>
    <w:rsid w:val="147E319B"/>
    <w:rsid w:val="148F7029"/>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047C7"/>
    <w:rsid w:val="15432DFE"/>
    <w:rsid w:val="154C6CC8"/>
    <w:rsid w:val="15583332"/>
    <w:rsid w:val="15592554"/>
    <w:rsid w:val="155C124C"/>
    <w:rsid w:val="15624A00"/>
    <w:rsid w:val="156D0B2D"/>
    <w:rsid w:val="157056CC"/>
    <w:rsid w:val="157B57FF"/>
    <w:rsid w:val="15AC1FA0"/>
    <w:rsid w:val="15B4178F"/>
    <w:rsid w:val="15C36BB7"/>
    <w:rsid w:val="15D03AD9"/>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9F376F"/>
    <w:rsid w:val="16B03286"/>
    <w:rsid w:val="16B63EAA"/>
    <w:rsid w:val="16B7128F"/>
    <w:rsid w:val="16DE4297"/>
    <w:rsid w:val="16E354E9"/>
    <w:rsid w:val="16EE2282"/>
    <w:rsid w:val="16F05DFA"/>
    <w:rsid w:val="16FD2C3E"/>
    <w:rsid w:val="17011D34"/>
    <w:rsid w:val="17017F86"/>
    <w:rsid w:val="17034C03"/>
    <w:rsid w:val="170A6E3A"/>
    <w:rsid w:val="1720448E"/>
    <w:rsid w:val="17437B05"/>
    <w:rsid w:val="175C3EAE"/>
    <w:rsid w:val="175C4740"/>
    <w:rsid w:val="175E2CE2"/>
    <w:rsid w:val="176A5D73"/>
    <w:rsid w:val="177901A1"/>
    <w:rsid w:val="17854713"/>
    <w:rsid w:val="17991E6C"/>
    <w:rsid w:val="17A843E0"/>
    <w:rsid w:val="17B44FF8"/>
    <w:rsid w:val="17BC2C4F"/>
    <w:rsid w:val="17CA3B6B"/>
    <w:rsid w:val="17D04556"/>
    <w:rsid w:val="17DA6845"/>
    <w:rsid w:val="17E15087"/>
    <w:rsid w:val="17E21B65"/>
    <w:rsid w:val="17EC02EE"/>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B7B07"/>
    <w:rsid w:val="188F4258"/>
    <w:rsid w:val="18911397"/>
    <w:rsid w:val="189D46CE"/>
    <w:rsid w:val="18A16257"/>
    <w:rsid w:val="18A41BE6"/>
    <w:rsid w:val="18A70717"/>
    <w:rsid w:val="18AD0ED0"/>
    <w:rsid w:val="18AD3F21"/>
    <w:rsid w:val="18B131B8"/>
    <w:rsid w:val="18B9196E"/>
    <w:rsid w:val="18CA3F17"/>
    <w:rsid w:val="18E84F59"/>
    <w:rsid w:val="19032E16"/>
    <w:rsid w:val="190B50EC"/>
    <w:rsid w:val="191912D0"/>
    <w:rsid w:val="1919138C"/>
    <w:rsid w:val="191C10A7"/>
    <w:rsid w:val="191D3504"/>
    <w:rsid w:val="19202AAF"/>
    <w:rsid w:val="193D18B1"/>
    <w:rsid w:val="1944076A"/>
    <w:rsid w:val="19453878"/>
    <w:rsid w:val="19470BFC"/>
    <w:rsid w:val="196B4912"/>
    <w:rsid w:val="196C2816"/>
    <w:rsid w:val="19746E26"/>
    <w:rsid w:val="198545E9"/>
    <w:rsid w:val="19920C8B"/>
    <w:rsid w:val="19AE61A3"/>
    <w:rsid w:val="19B227A4"/>
    <w:rsid w:val="19BB3C04"/>
    <w:rsid w:val="19C02C4D"/>
    <w:rsid w:val="19C85311"/>
    <w:rsid w:val="19D63616"/>
    <w:rsid w:val="19EC2A1D"/>
    <w:rsid w:val="19F501CC"/>
    <w:rsid w:val="1A012C35"/>
    <w:rsid w:val="1A1871D1"/>
    <w:rsid w:val="1A223331"/>
    <w:rsid w:val="1A272B94"/>
    <w:rsid w:val="1A293A7B"/>
    <w:rsid w:val="1A397017"/>
    <w:rsid w:val="1A40571B"/>
    <w:rsid w:val="1A46691A"/>
    <w:rsid w:val="1A4838AB"/>
    <w:rsid w:val="1A50159E"/>
    <w:rsid w:val="1A561C2F"/>
    <w:rsid w:val="1A5C19F6"/>
    <w:rsid w:val="1A661245"/>
    <w:rsid w:val="1A6D7C50"/>
    <w:rsid w:val="1A770393"/>
    <w:rsid w:val="1A884869"/>
    <w:rsid w:val="1A8C6AD5"/>
    <w:rsid w:val="1A9316A1"/>
    <w:rsid w:val="1AAF7AF0"/>
    <w:rsid w:val="1AB9653B"/>
    <w:rsid w:val="1ABF317B"/>
    <w:rsid w:val="1AC07C0C"/>
    <w:rsid w:val="1ADF3D8F"/>
    <w:rsid w:val="1AE76900"/>
    <w:rsid w:val="1AE949B2"/>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07D6D"/>
    <w:rsid w:val="1BA265BC"/>
    <w:rsid w:val="1BA54E06"/>
    <w:rsid w:val="1BB6686F"/>
    <w:rsid w:val="1BBB3D74"/>
    <w:rsid w:val="1BD07D2E"/>
    <w:rsid w:val="1BD11821"/>
    <w:rsid w:val="1BD165BF"/>
    <w:rsid w:val="1BD25298"/>
    <w:rsid w:val="1BDE16AB"/>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984EE8"/>
    <w:rsid w:val="1CA423A6"/>
    <w:rsid w:val="1CAC1A72"/>
    <w:rsid w:val="1CAC4FC6"/>
    <w:rsid w:val="1CB559FA"/>
    <w:rsid w:val="1CD6156D"/>
    <w:rsid w:val="1CEE4B08"/>
    <w:rsid w:val="1D2D513C"/>
    <w:rsid w:val="1D3A0760"/>
    <w:rsid w:val="1D3D7732"/>
    <w:rsid w:val="1D59452B"/>
    <w:rsid w:val="1D600F36"/>
    <w:rsid w:val="1D776353"/>
    <w:rsid w:val="1DAA0FE0"/>
    <w:rsid w:val="1DC87F0F"/>
    <w:rsid w:val="1DDA7A35"/>
    <w:rsid w:val="1DDD4080"/>
    <w:rsid w:val="1DE678FA"/>
    <w:rsid w:val="1DF748FE"/>
    <w:rsid w:val="1E17153B"/>
    <w:rsid w:val="1E1B7B7F"/>
    <w:rsid w:val="1E2201D1"/>
    <w:rsid w:val="1E2565DF"/>
    <w:rsid w:val="1E2E2C08"/>
    <w:rsid w:val="1E62615F"/>
    <w:rsid w:val="1E6D2729"/>
    <w:rsid w:val="1E7777B5"/>
    <w:rsid w:val="1E905422"/>
    <w:rsid w:val="1EB8717C"/>
    <w:rsid w:val="1ECD52CB"/>
    <w:rsid w:val="1ED84675"/>
    <w:rsid w:val="1EE762A8"/>
    <w:rsid w:val="1EEE7042"/>
    <w:rsid w:val="1EEF57A0"/>
    <w:rsid w:val="1F097D58"/>
    <w:rsid w:val="1F1C379B"/>
    <w:rsid w:val="1F1E3283"/>
    <w:rsid w:val="1F213D36"/>
    <w:rsid w:val="1F415179"/>
    <w:rsid w:val="1F55468E"/>
    <w:rsid w:val="1F5A46D7"/>
    <w:rsid w:val="1F5B3A25"/>
    <w:rsid w:val="1F652D51"/>
    <w:rsid w:val="1F817EB6"/>
    <w:rsid w:val="1F835C60"/>
    <w:rsid w:val="1F852D9A"/>
    <w:rsid w:val="1F9A0A81"/>
    <w:rsid w:val="1FA4437F"/>
    <w:rsid w:val="1FB45B95"/>
    <w:rsid w:val="1FC43B44"/>
    <w:rsid w:val="1FDE76B7"/>
    <w:rsid w:val="1FDF18F5"/>
    <w:rsid w:val="1FEB532F"/>
    <w:rsid w:val="201B5C14"/>
    <w:rsid w:val="20216FA3"/>
    <w:rsid w:val="20364A08"/>
    <w:rsid w:val="20370453"/>
    <w:rsid w:val="20433DD9"/>
    <w:rsid w:val="208219EE"/>
    <w:rsid w:val="208642C5"/>
    <w:rsid w:val="208D55B4"/>
    <w:rsid w:val="20945F8B"/>
    <w:rsid w:val="20960AAC"/>
    <w:rsid w:val="20A81CC6"/>
    <w:rsid w:val="20BB2D92"/>
    <w:rsid w:val="20D9783C"/>
    <w:rsid w:val="20DB272D"/>
    <w:rsid w:val="20DF30E6"/>
    <w:rsid w:val="20E35890"/>
    <w:rsid w:val="20EB5260"/>
    <w:rsid w:val="20ED25F8"/>
    <w:rsid w:val="20FF5536"/>
    <w:rsid w:val="211D5536"/>
    <w:rsid w:val="212D7653"/>
    <w:rsid w:val="21374CD0"/>
    <w:rsid w:val="214E5B76"/>
    <w:rsid w:val="21577120"/>
    <w:rsid w:val="215D3497"/>
    <w:rsid w:val="21630DF5"/>
    <w:rsid w:val="216D4818"/>
    <w:rsid w:val="21720723"/>
    <w:rsid w:val="21835A63"/>
    <w:rsid w:val="21893052"/>
    <w:rsid w:val="21997739"/>
    <w:rsid w:val="219A0DBB"/>
    <w:rsid w:val="21A453EC"/>
    <w:rsid w:val="21B77BBF"/>
    <w:rsid w:val="21BF0821"/>
    <w:rsid w:val="21CB5E66"/>
    <w:rsid w:val="21DA2B73"/>
    <w:rsid w:val="21E51C2D"/>
    <w:rsid w:val="21E53738"/>
    <w:rsid w:val="21E92794"/>
    <w:rsid w:val="21EF4EBF"/>
    <w:rsid w:val="21EF7EED"/>
    <w:rsid w:val="21F347B9"/>
    <w:rsid w:val="21F368D6"/>
    <w:rsid w:val="21FA030D"/>
    <w:rsid w:val="21FF696C"/>
    <w:rsid w:val="22080428"/>
    <w:rsid w:val="220E42DE"/>
    <w:rsid w:val="22195DBD"/>
    <w:rsid w:val="221E379A"/>
    <w:rsid w:val="2224484A"/>
    <w:rsid w:val="222A1CD6"/>
    <w:rsid w:val="222F2CD2"/>
    <w:rsid w:val="22327411"/>
    <w:rsid w:val="224704B5"/>
    <w:rsid w:val="22484CBB"/>
    <w:rsid w:val="22517C8A"/>
    <w:rsid w:val="22521CFA"/>
    <w:rsid w:val="22524403"/>
    <w:rsid w:val="225838E4"/>
    <w:rsid w:val="22627594"/>
    <w:rsid w:val="2268066E"/>
    <w:rsid w:val="2268361F"/>
    <w:rsid w:val="227151A7"/>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564317"/>
    <w:rsid w:val="23664593"/>
    <w:rsid w:val="2371794D"/>
    <w:rsid w:val="237241FA"/>
    <w:rsid w:val="2378293D"/>
    <w:rsid w:val="238907C0"/>
    <w:rsid w:val="2397403C"/>
    <w:rsid w:val="23985ED3"/>
    <w:rsid w:val="23A276E9"/>
    <w:rsid w:val="23A648EC"/>
    <w:rsid w:val="23BB6B9F"/>
    <w:rsid w:val="23D84978"/>
    <w:rsid w:val="23E30D15"/>
    <w:rsid w:val="23F64837"/>
    <w:rsid w:val="24002062"/>
    <w:rsid w:val="24177C0E"/>
    <w:rsid w:val="242B4894"/>
    <w:rsid w:val="242D4168"/>
    <w:rsid w:val="243015F1"/>
    <w:rsid w:val="2432177F"/>
    <w:rsid w:val="24394219"/>
    <w:rsid w:val="243A0633"/>
    <w:rsid w:val="2447553C"/>
    <w:rsid w:val="24636B1F"/>
    <w:rsid w:val="247D732F"/>
    <w:rsid w:val="24823F7B"/>
    <w:rsid w:val="24890281"/>
    <w:rsid w:val="248E6B6A"/>
    <w:rsid w:val="24972A3B"/>
    <w:rsid w:val="24AA72D7"/>
    <w:rsid w:val="24AF5088"/>
    <w:rsid w:val="24BD29C0"/>
    <w:rsid w:val="24CC28ED"/>
    <w:rsid w:val="24D829F4"/>
    <w:rsid w:val="24E1791B"/>
    <w:rsid w:val="24FE339B"/>
    <w:rsid w:val="2500362B"/>
    <w:rsid w:val="25035C60"/>
    <w:rsid w:val="250A67C8"/>
    <w:rsid w:val="251864FE"/>
    <w:rsid w:val="25190D89"/>
    <w:rsid w:val="2529543B"/>
    <w:rsid w:val="255018F9"/>
    <w:rsid w:val="2563130F"/>
    <w:rsid w:val="256371CE"/>
    <w:rsid w:val="256F4CDE"/>
    <w:rsid w:val="25726537"/>
    <w:rsid w:val="2573667E"/>
    <w:rsid w:val="25781413"/>
    <w:rsid w:val="25783B09"/>
    <w:rsid w:val="257D32AD"/>
    <w:rsid w:val="25801FB4"/>
    <w:rsid w:val="2586296F"/>
    <w:rsid w:val="258A1146"/>
    <w:rsid w:val="25934BCC"/>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97093"/>
    <w:rsid w:val="26FE44A6"/>
    <w:rsid w:val="27015CA0"/>
    <w:rsid w:val="27035C67"/>
    <w:rsid w:val="270A40F5"/>
    <w:rsid w:val="2725028F"/>
    <w:rsid w:val="27274A7B"/>
    <w:rsid w:val="272A0E33"/>
    <w:rsid w:val="273424B1"/>
    <w:rsid w:val="273B79BB"/>
    <w:rsid w:val="2744778D"/>
    <w:rsid w:val="274517C9"/>
    <w:rsid w:val="27473777"/>
    <w:rsid w:val="274C182B"/>
    <w:rsid w:val="276500BD"/>
    <w:rsid w:val="27672156"/>
    <w:rsid w:val="277A7A25"/>
    <w:rsid w:val="27876184"/>
    <w:rsid w:val="27983FEE"/>
    <w:rsid w:val="27A11B8B"/>
    <w:rsid w:val="27AB27E9"/>
    <w:rsid w:val="27B7274B"/>
    <w:rsid w:val="27C54CC7"/>
    <w:rsid w:val="27C64BC1"/>
    <w:rsid w:val="27CC5810"/>
    <w:rsid w:val="27D172AC"/>
    <w:rsid w:val="27D8263D"/>
    <w:rsid w:val="27DE4AF3"/>
    <w:rsid w:val="27F07987"/>
    <w:rsid w:val="27F12103"/>
    <w:rsid w:val="27F16E26"/>
    <w:rsid w:val="27FE021F"/>
    <w:rsid w:val="280F2B0B"/>
    <w:rsid w:val="28107CB8"/>
    <w:rsid w:val="28145B7D"/>
    <w:rsid w:val="284342E8"/>
    <w:rsid w:val="286417E4"/>
    <w:rsid w:val="286E085F"/>
    <w:rsid w:val="286F1CB9"/>
    <w:rsid w:val="28757E8C"/>
    <w:rsid w:val="287A2C3D"/>
    <w:rsid w:val="28887BBF"/>
    <w:rsid w:val="28A54671"/>
    <w:rsid w:val="28AC4B0F"/>
    <w:rsid w:val="28AD41F0"/>
    <w:rsid w:val="28B37F13"/>
    <w:rsid w:val="28CC20CB"/>
    <w:rsid w:val="28EC1C3D"/>
    <w:rsid w:val="28ED036A"/>
    <w:rsid w:val="28ED22A4"/>
    <w:rsid w:val="28F23EC1"/>
    <w:rsid w:val="28F30BB6"/>
    <w:rsid w:val="28F40534"/>
    <w:rsid w:val="28F71A56"/>
    <w:rsid w:val="28F83170"/>
    <w:rsid w:val="28FF1F13"/>
    <w:rsid w:val="29013947"/>
    <w:rsid w:val="29021573"/>
    <w:rsid w:val="291D29FD"/>
    <w:rsid w:val="292C0E92"/>
    <w:rsid w:val="294837F2"/>
    <w:rsid w:val="294A53DB"/>
    <w:rsid w:val="294D3CDA"/>
    <w:rsid w:val="296C2B95"/>
    <w:rsid w:val="29745FA3"/>
    <w:rsid w:val="29A947C3"/>
    <w:rsid w:val="29AD4C94"/>
    <w:rsid w:val="29AF4444"/>
    <w:rsid w:val="29BD7D3C"/>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45B2D"/>
    <w:rsid w:val="2B667F60"/>
    <w:rsid w:val="2B704098"/>
    <w:rsid w:val="2B7C5D60"/>
    <w:rsid w:val="2B843173"/>
    <w:rsid w:val="2B8D6429"/>
    <w:rsid w:val="2B8E0864"/>
    <w:rsid w:val="2B965328"/>
    <w:rsid w:val="2B985E06"/>
    <w:rsid w:val="2BAD3B9A"/>
    <w:rsid w:val="2BB26EE1"/>
    <w:rsid w:val="2BC30594"/>
    <w:rsid w:val="2BCA04EF"/>
    <w:rsid w:val="2BD15794"/>
    <w:rsid w:val="2BD33057"/>
    <w:rsid w:val="2BD83010"/>
    <w:rsid w:val="2BF20D2E"/>
    <w:rsid w:val="2BF96901"/>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32F1B"/>
    <w:rsid w:val="2CB4676E"/>
    <w:rsid w:val="2CB5035F"/>
    <w:rsid w:val="2CC90EF6"/>
    <w:rsid w:val="2CD87263"/>
    <w:rsid w:val="2CE61CB9"/>
    <w:rsid w:val="2CEA34DB"/>
    <w:rsid w:val="2CF2558B"/>
    <w:rsid w:val="2CFD19E5"/>
    <w:rsid w:val="2D031E69"/>
    <w:rsid w:val="2D087EFE"/>
    <w:rsid w:val="2D095C14"/>
    <w:rsid w:val="2D0F035E"/>
    <w:rsid w:val="2D115A1D"/>
    <w:rsid w:val="2D1F2D4F"/>
    <w:rsid w:val="2D1F486A"/>
    <w:rsid w:val="2D236108"/>
    <w:rsid w:val="2D2E24FE"/>
    <w:rsid w:val="2D3B4A84"/>
    <w:rsid w:val="2D607C0C"/>
    <w:rsid w:val="2D647D04"/>
    <w:rsid w:val="2D687336"/>
    <w:rsid w:val="2D6C4A37"/>
    <w:rsid w:val="2D75426F"/>
    <w:rsid w:val="2D83640E"/>
    <w:rsid w:val="2D9004AA"/>
    <w:rsid w:val="2DB37583"/>
    <w:rsid w:val="2DBD47AF"/>
    <w:rsid w:val="2DC00143"/>
    <w:rsid w:val="2DC45542"/>
    <w:rsid w:val="2DD30DD3"/>
    <w:rsid w:val="2DD35D80"/>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EFF4953"/>
    <w:rsid w:val="2F0466B8"/>
    <w:rsid w:val="2F11106B"/>
    <w:rsid w:val="2F1B0F90"/>
    <w:rsid w:val="2F1C4972"/>
    <w:rsid w:val="2F2577CD"/>
    <w:rsid w:val="2F283B4E"/>
    <w:rsid w:val="2F48454C"/>
    <w:rsid w:val="2F4F20DC"/>
    <w:rsid w:val="2F5C4D75"/>
    <w:rsid w:val="2F7649DC"/>
    <w:rsid w:val="2F77478D"/>
    <w:rsid w:val="2F9C75C5"/>
    <w:rsid w:val="2FAE23C2"/>
    <w:rsid w:val="2FAF4382"/>
    <w:rsid w:val="2FBF4CDD"/>
    <w:rsid w:val="2FCE3993"/>
    <w:rsid w:val="2FD8497E"/>
    <w:rsid w:val="2FDB7460"/>
    <w:rsid w:val="2FFA3126"/>
    <w:rsid w:val="2FFB4A40"/>
    <w:rsid w:val="3002294D"/>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435EDA"/>
    <w:rsid w:val="314A45AB"/>
    <w:rsid w:val="315C5CED"/>
    <w:rsid w:val="31614603"/>
    <w:rsid w:val="317A1B66"/>
    <w:rsid w:val="317F1D7B"/>
    <w:rsid w:val="31887BBB"/>
    <w:rsid w:val="31A37F7E"/>
    <w:rsid w:val="31A85D38"/>
    <w:rsid w:val="31C86367"/>
    <w:rsid w:val="31CA4CBA"/>
    <w:rsid w:val="31D411F0"/>
    <w:rsid w:val="31EA3792"/>
    <w:rsid w:val="31F01474"/>
    <w:rsid w:val="31F30E5D"/>
    <w:rsid w:val="32001E9E"/>
    <w:rsid w:val="320768FB"/>
    <w:rsid w:val="320C7AB3"/>
    <w:rsid w:val="32103078"/>
    <w:rsid w:val="322272D6"/>
    <w:rsid w:val="322A4A7F"/>
    <w:rsid w:val="322E5C82"/>
    <w:rsid w:val="32337A72"/>
    <w:rsid w:val="32422735"/>
    <w:rsid w:val="32425F90"/>
    <w:rsid w:val="324546A3"/>
    <w:rsid w:val="3256359F"/>
    <w:rsid w:val="325713D2"/>
    <w:rsid w:val="32693798"/>
    <w:rsid w:val="327D4E1A"/>
    <w:rsid w:val="32827D75"/>
    <w:rsid w:val="32835020"/>
    <w:rsid w:val="3289140B"/>
    <w:rsid w:val="32935ADE"/>
    <w:rsid w:val="32954F65"/>
    <w:rsid w:val="32990B86"/>
    <w:rsid w:val="329D1A9E"/>
    <w:rsid w:val="32A113F2"/>
    <w:rsid w:val="32AF11BA"/>
    <w:rsid w:val="32B439C8"/>
    <w:rsid w:val="32C178E7"/>
    <w:rsid w:val="32C263C3"/>
    <w:rsid w:val="32CB2FFC"/>
    <w:rsid w:val="32DC0656"/>
    <w:rsid w:val="32E901DF"/>
    <w:rsid w:val="32F72511"/>
    <w:rsid w:val="32FC0D80"/>
    <w:rsid w:val="330E7511"/>
    <w:rsid w:val="331001CE"/>
    <w:rsid w:val="331C3D26"/>
    <w:rsid w:val="331C7FC2"/>
    <w:rsid w:val="33222674"/>
    <w:rsid w:val="33240E2C"/>
    <w:rsid w:val="333B6726"/>
    <w:rsid w:val="333F5C66"/>
    <w:rsid w:val="33416700"/>
    <w:rsid w:val="33424721"/>
    <w:rsid w:val="334C600B"/>
    <w:rsid w:val="33553755"/>
    <w:rsid w:val="336E3487"/>
    <w:rsid w:val="337B6038"/>
    <w:rsid w:val="33864261"/>
    <w:rsid w:val="339733AC"/>
    <w:rsid w:val="339E0BDF"/>
    <w:rsid w:val="33BE4CD6"/>
    <w:rsid w:val="33D51078"/>
    <w:rsid w:val="33DB3B1B"/>
    <w:rsid w:val="33DD13A6"/>
    <w:rsid w:val="33E04CCE"/>
    <w:rsid w:val="33E1429F"/>
    <w:rsid w:val="3405195D"/>
    <w:rsid w:val="340B69F8"/>
    <w:rsid w:val="341723F9"/>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A7D21"/>
    <w:rsid w:val="351F6CAD"/>
    <w:rsid w:val="35365AD4"/>
    <w:rsid w:val="353B60B2"/>
    <w:rsid w:val="354D6953"/>
    <w:rsid w:val="35527277"/>
    <w:rsid w:val="35530F4D"/>
    <w:rsid w:val="35585FE5"/>
    <w:rsid w:val="356762C7"/>
    <w:rsid w:val="35747E49"/>
    <w:rsid w:val="35751896"/>
    <w:rsid w:val="357A5F14"/>
    <w:rsid w:val="357B2200"/>
    <w:rsid w:val="357D2006"/>
    <w:rsid w:val="357E4747"/>
    <w:rsid w:val="358443E1"/>
    <w:rsid w:val="358F0A51"/>
    <w:rsid w:val="35970121"/>
    <w:rsid w:val="35A23875"/>
    <w:rsid w:val="35B27C4A"/>
    <w:rsid w:val="35BE2EBC"/>
    <w:rsid w:val="35C83E6A"/>
    <w:rsid w:val="35C9426D"/>
    <w:rsid w:val="35DA1C76"/>
    <w:rsid w:val="35E77FC2"/>
    <w:rsid w:val="35EB1B63"/>
    <w:rsid w:val="35EF4FD0"/>
    <w:rsid w:val="36066674"/>
    <w:rsid w:val="36095147"/>
    <w:rsid w:val="361879E3"/>
    <w:rsid w:val="361B3D26"/>
    <w:rsid w:val="362710E9"/>
    <w:rsid w:val="36323ABF"/>
    <w:rsid w:val="363B0FF9"/>
    <w:rsid w:val="36412360"/>
    <w:rsid w:val="364A0360"/>
    <w:rsid w:val="364B42E6"/>
    <w:rsid w:val="364E63B3"/>
    <w:rsid w:val="36500BB4"/>
    <w:rsid w:val="36533F02"/>
    <w:rsid w:val="36552D10"/>
    <w:rsid w:val="366C5DEA"/>
    <w:rsid w:val="36725975"/>
    <w:rsid w:val="3674095D"/>
    <w:rsid w:val="369159C6"/>
    <w:rsid w:val="36A4500F"/>
    <w:rsid w:val="36A5411E"/>
    <w:rsid w:val="36AC3612"/>
    <w:rsid w:val="36B6717B"/>
    <w:rsid w:val="36B74D5D"/>
    <w:rsid w:val="36BA54D8"/>
    <w:rsid w:val="36E01710"/>
    <w:rsid w:val="36E80F65"/>
    <w:rsid w:val="36F76D95"/>
    <w:rsid w:val="372012AD"/>
    <w:rsid w:val="37260B6C"/>
    <w:rsid w:val="373068AF"/>
    <w:rsid w:val="374F2949"/>
    <w:rsid w:val="375010B8"/>
    <w:rsid w:val="375C6DE7"/>
    <w:rsid w:val="375D420E"/>
    <w:rsid w:val="37662366"/>
    <w:rsid w:val="376C77A5"/>
    <w:rsid w:val="376F05BF"/>
    <w:rsid w:val="37781CA3"/>
    <w:rsid w:val="377B15DA"/>
    <w:rsid w:val="377C3F1F"/>
    <w:rsid w:val="3783372E"/>
    <w:rsid w:val="378D3DD8"/>
    <w:rsid w:val="37AB1B1C"/>
    <w:rsid w:val="37B676F5"/>
    <w:rsid w:val="37BB702D"/>
    <w:rsid w:val="37BE65E8"/>
    <w:rsid w:val="37C2288B"/>
    <w:rsid w:val="37CB2B66"/>
    <w:rsid w:val="37CE1367"/>
    <w:rsid w:val="37CF7018"/>
    <w:rsid w:val="37D04E01"/>
    <w:rsid w:val="37D94A3B"/>
    <w:rsid w:val="37DC2044"/>
    <w:rsid w:val="37F32FB2"/>
    <w:rsid w:val="38074A12"/>
    <w:rsid w:val="38223476"/>
    <w:rsid w:val="384653A1"/>
    <w:rsid w:val="384C0D1B"/>
    <w:rsid w:val="385228D7"/>
    <w:rsid w:val="385901CF"/>
    <w:rsid w:val="386E6624"/>
    <w:rsid w:val="387B5C3F"/>
    <w:rsid w:val="387E2580"/>
    <w:rsid w:val="388972B8"/>
    <w:rsid w:val="389D7CFE"/>
    <w:rsid w:val="38A3165F"/>
    <w:rsid w:val="38A835C3"/>
    <w:rsid w:val="38A91C09"/>
    <w:rsid w:val="38B74E4E"/>
    <w:rsid w:val="38C904AC"/>
    <w:rsid w:val="38C953EE"/>
    <w:rsid w:val="38D97FC3"/>
    <w:rsid w:val="38DF7CCF"/>
    <w:rsid w:val="38ED7AAD"/>
    <w:rsid w:val="38EE7441"/>
    <w:rsid w:val="38F4304F"/>
    <w:rsid w:val="38FD2365"/>
    <w:rsid w:val="39050DB8"/>
    <w:rsid w:val="390A580B"/>
    <w:rsid w:val="390B6305"/>
    <w:rsid w:val="39335925"/>
    <w:rsid w:val="394873E0"/>
    <w:rsid w:val="394C5057"/>
    <w:rsid w:val="39590B7E"/>
    <w:rsid w:val="395E5ED6"/>
    <w:rsid w:val="39617FF1"/>
    <w:rsid w:val="3984786F"/>
    <w:rsid w:val="398D3F0C"/>
    <w:rsid w:val="399403B5"/>
    <w:rsid w:val="39944F21"/>
    <w:rsid w:val="399C567C"/>
    <w:rsid w:val="39B53777"/>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21656"/>
    <w:rsid w:val="3AC41EA7"/>
    <w:rsid w:val="3ACE7FFB"/>
    <w:rsid w:val="3AEA1E7D"/>
    <w:rsid w:val="3B0A69B4"/>
    <w:rsid w:val="3B186723"/>
    <w:rsid w:val="3B2F2287"/>
    <w:rsid w:val="3B392F9B"/>
    <w:rsid w:val="3B40257B"/>
    <w:rsid w:val="3B491CE5"/>
    <w:rsid w:val="3B516D1F"/>
    <w:rsid w:val="3B642666"/>
    <w:rsid w:val="3B681D22"/>
    <w:rsid w:val="3B6A626F"/>
    <w:rsid w:val="3B6E1C80"/>
    <w:rsid w:val="3B7C64DF"/>
    <w:rsid w:val="3B801B02"/>
    <w:rsid w:val="3B8D35D0"/>
    <w:rsid w:val="3B8E6E54"/>
    <w:rsid w:val="3BA47396"/>
    <w:rsid w:val="3BAF7D8C"/>
    <w:rsid w:val="3BB57C67"/>
    <w:rsid w:val="3BCB0C50"/>
    <w:rsid w:val="3BD82C97"/>
    <w:rsid w:val="3BDD064B"/>
    <w:rsid w:val="3BE13D5E"/>
    <w:rsid w:val="3BE92C13"/>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CE85DA5"/>
    <w:rsid w:val="3D0A50FF"/>
    <w:rsid w:val="3D0F35F8"/>
    <w:rsid w:val="3D2A5291"/>
    <w:rsid w:val="3D2C1633"/>
    <w:rsid w:val="3D2D0406"/>
    <w:rsid w:val="3D2D09B8"/>
    <w:rsid w:val="3D326AD9"/>
    <w:rsid w:val="3D347EBE"/>
    <w:rsid w:val="3D4517A6"/>
    <w:rsid w:val="3D475512"/>
    <w:rsid w:val="3D670D8E"/>
    <w:rsid w:val="3D6B0F9C"/>
    <w:rsid w:val="3D7F17A0"/>
    <w:rsid w:val="3D8A5E00"/>
    <w:rsid w:val="3D8E539A"/>
    <w:rsid w:val="3D921E11"/>
    <w:rsid w:val="3D9369DC"/>
    <w:rsid w:val="3D9848F1"/>
    <w:rsid w:val="3DA67D33"/>
    <w:rsid w:val="3DA93D46"/>
    <w:rsid w:val="3DAA0831"/>
    <w:rsid w:val="3DB37A24"/>
    <w:rsid w:val="3DB56894"/>
    <w:rsid w:val="3DCB5089"/>
    <w:rsid w:val="3DD016EE"/>
    <w:rsid w:val="3DD973B3"/>
    <w:rsid w:val="3E08609B"/>
    <w:rsid w:val="3E0C7060"/>
    <w:rsid w:val="3E127E9C"/>
    <w:rsid w:val="3E1412BD"/>
    <w:rsid w:val="3E2527A0"/>
    <w:rsid w:val="3E350C0A"/>
    <w:rsid w:val="3E4F1453"/>
    <w:rsid w:val="3E546A69"/>
    <w:rsid w:val="3E5B63F8"/>
    <w:rsid w:val="3E641095"/>
    <w:rsid w:val="3E66096E"/>
    <w:rsid w:val="3E671748"/>
    <w:rsid w:val="3E67181D"/>
    <w:rsid w:val="3E69063A"/>
    <w:rsid w:val="3E7E3AE6"/>
    <w:rsid w:val="3E887EAE"/>
    <w:rsid w:val="3E895FE7"/>
    <w:rsid w:val="3E8B1D5F"/>
    <w:rsid w:val="3E8B5373"/>
    <w:rsid w:val="3E8B6A25"/>
    <w:rsid w:val="3E8F7AA2"/>
    <w:rsid w:val="3E92119A"/>
    <w:rsid w:val="3E973520"/>
    <w:rsid w:val="3E992715"/>
    <w:rsid w:val="3EAA5632"/>
    <w:rsid w:val="3EB65743"/>
    <w:rsid w:val="3ECD4DB7"/>
    <w:rsid w:val="3ED46893"/>
    <w:rsid w:val="3EDD1A80"/>
    <w:rsid w:val="3EED0D1F"/>
    <w:rsid w:val="3EEF3412"/>
    <w:rsid w:val="3EF73899"/>
    <w:rsid w:val="3EFC0365"/>
    <w:rsid w:val="3EFE4C27"/>
    <w:rsid w:val="3F0D7A39"/>
    <w:rsid w:val="3F122B9E"/>
    <w:rsid w:val="3F1955BD"/>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670D18"/>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13392"/>
    <w:rsid w:val="40F905F3"/>
    <w:rsid w:val="4120079E"/>
    <w:rsid w:val="41422495"/>
    <w:rsid w:val="41686912"/>
    <w:rsid w:val="418C02C8"/>
    <w:rsid w:val="41982499"/>
    <w:rsid w:val="41A575DC"/>
    <w:rsid w:val="41B75800"/>
    <w:rsid w:val="41B8433E"/>
    <w:rsid w:val="41B9083E"/>
    <w:rsid w:val="41BE6594"/>
    <w:rsid w:val="41E15E55"/>
    <w:rsid w:val="41F64D82"/>
    <w:rsid w:val="41FA4EAC"/>
    <w:rsid w:val="4202058A"/>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DE4B54"/>
    <w:rsid w:val="42EB63C1"/>
    <w:rsid w:val="42FF15D5"/>
    <w:rsid w:val="43086074"/>
    <w:rsid w:val="430C6383"/>
    <w:rsid w:val="431762B8"/>
    <w:rsid w:val="43290FCB"/>
    <w:rsid w:val="43321BC6"/>
    <w:rsid w:val="4352371B"/>
    <w:rsid w:val="43661A84"/>
    <w:rsid w:val="436734D2"/>
    <w:rsid w:val="43747266"/>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E4041B"/>
    <w:rsid w:val="44FA2613"/>
    <w:rsid w:val="44FB1D29"/>
    <w:rsid w:val="44FC5765"/>
    <w:rsid w:val="45040DE8"/>
    <w:rsid w:val="450F099A"/>
    <w:rsid w:val="4517557B"/>
    <w:rsid w:val="45203454"/>
    <w:rsid w:val="452F47DD"/>
    <w:rsid w:val="453606AF"/>
    <w:rsid w:val="453E56C7"/>
    <w:rsid w:val="454F3AE7"/>
    <w:rsid w:val="45651A06"/>
    <w:rsid w:val="45660E30"/>
    <w:rsid w:val="4567455C"/>
    <w:rsid w:val="45760AF7"/>
    <w:rsid w:val="4579321A"/>
    <w:rsid w:val="457A4CD3"/>
    <w:rsid w:val="457C68A6"/>
    <w:rsid w:val="45800CA7"/>
    <w:rsid w:val="458D7C03"/>
    <w:rsid w:val="458E6DB7"/>
    <w:rsid w:val="458F70A8"/>
    <w:rsid w:val="459B4F7E"/>
    <w:rsid w:val="45A45615"/>
    <w:rsid w:val="45BC2225"/>
    <w:rsid w:val="45C62DBF"/>
    <w:rsid w:val="45D0117F"/>
    <w:rsid w:val="45EA7CB3"/>
    <w:rsid w:val="45FA1807"/>
    <w:rsid w:val="461865CE"/>
    <w:rsid w:val="46226A68"/>
    <w:rsid w:val="463F66F8"/>
    <w:rsid w:val="464909B1"/>
    <w:rsid w:val="464C493B"/>
    <w:rsid w:val="465368CE"/>
    <w:rsid w:val="465855E4"/>
    <w:rsid w:val="46595D07"/>
    <w:rsid w:val="466575EA"/>
    <w:rsid w:val="469F225B"/>
    <w:rsid w:val="46A94EC9"/>
    <w:rsid w:val="46B47EB5"/>
    <w:rsid w:val="46B47EC4"/>
    <w:rsid w:val="46B547BE"/>
    <w:rsid w:val="46BF2728"/>
    <w:rsid w:val="46F5171D"/>
    <w:rsid w:val="470E0B01"/>
    <w:rsid w:val="471217B8"/>
    <w:rsid w:val="47132499"/>
    <w:rsid w:val="47146327"/>
    <w:rsid w:val="471B73A3"/>
    <w:rsid w:val="471C0F5C"/>
    <w:rsid w:val="471F67C9"/>
    <w:rsid w:val="472222ED"/>
    <w:rsid w:val="472D6945"/>
    <w:rsid w:val="472E2D50"/>
    <w:rsid w:val="47365F9B"/>
    <w:rsid w:val="47405992"/>
    <w:rsid w:val="474946B5"/>
    <w:rsid w:val="474A12D1"/>
    <w:rsid w:val="475135B0"/>
    <w:rsid w:val="47580548"/>
    <w:rsid w:val="47627C99"/>
    <w:rsid w:val="477A1B7B"/>
    <w:rsid w:val="47897614"/>
    <w:rsid w:val="4799729B"/>
    <w:rsid w:val="47BA1971"/>
    <w:rsid w:val="47BB362F"/>
    <w:rsid w:val="47BC03F7"/>
    <w:rsid w:val="47C74A56"/>
    <w:rsid w:val="47E26E94"/>
    <w:rsid w:val="47EB7A8C"/>
    <w:rsid w:val="47F1079E"/>
    <w:rsid w:val="4806155A"/>
    <w:rsid w:val="48064BD8"/>
    <w:rsid w:val="480768FB"/>
    <w:rsid w:val="480A1F47"/>
    <w:rsid w:val="4812529F"/>
    <w:rsid w:val="481C6983"/>
    <w:rsid w:val="482E57B9"/>
    <w:rsid w:val="4838779C"/>
    <w:rsid w:val="483D43BB"/>
    <w:rsid w:val="485708FA"/>
    <w:rsid w:val="485A00F0"/>
    <w:rsid w:val="485E70DA"/>
    <w:rsid w:val="486160D8"/>
    <w:rsid w:val="486503B6"/>
    <w:rsid w:val="48672E9B"/>
    <w:rsid w:val="4871396F"/>
    <w:rsid w:val="48775CA1"/>
    <w:rsid w:val="48830BD3"/>
    <w:rsid w:val="48877A3B"/>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7E2BEC"/>
    <w:rsid w:val="4981092F"/>
    <w:rsid w:val="498135F6"/>
    <w:rsid w:val="49835664"/>
    <w:rsid w:val="49873BD5"/>
    <w:rsid w:val="499601EF"/>
    <w:rsid w:val="49A41527"/>
    <w:rsid w:val="49B537A0"/>
    <w:rsid w:val="49BF4743"/>
    <w:rsid w:val="49DE37C0"/>
    <w:rsid w:val="49E0330D"/>
    <w:rsid w:val="49E87E68"/>
    <w:rsid w:val="4A015B5C"/>
    <w:rsid w:val="4A01737A"/>
    <w:rsid w:val="4A1202BB"/>
    <w:rsid w:val="4A246EBE"/>
    <w:rsid w:val="4A2700A1"/>
    <w:rsid w:val="4A282BDA"/>
    <w:rsid w:val="4A286032"/>
    <w:rsid w:val="4A397C53"/>
    <w:rsid w:val="4A544C51"/>
    <w:rsid w:val="4A796311"/>
    <w:rsid w:val="4A7B722F"/>
    <w:rsid w:val="4A82670C"/>
    <w:rsid w:val="4A875939"/>
    <w:rsid w:val="4A8E7B0E"/>
    <w:rsid w:val="4A977D9B"/>
    <w:rsid w:val="4AB03279"/>
    <w:rsid w:val="4AB278F9"/>
    <w:rsid w:val="4AB86EFF"/>
    <w:rsid w:val="4AE1489B"/>
    <w:rsid w:val="4AF434D0"/>
    <w:rsid w:val="4AF87984"/>
    <w:rsid w:val="4AFC7865"/>
    <w:rsid w:val="4AFF233F"/>
    <w:rsid w:val="4B020826"/>
    <w:rsid w:val="4B071F47"/>
    <w:rsid w:val="4B097495"/>
    <w:rsid w:val="4B100D94"/>
    <w:rsid w:val="4B111E46"/>
    <w:rsid w:val="4B1E3B5B"/>
    <w:rsid w:val="4B217CD3"/>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DC1E4C"/>
    <w:rsid w:val="4BE807F1"/>
    <w:rsid w:val="4BF93936"/>
    <w:rsid w:val="4C294590"/>
    <w:rsid w:val="4C2C2250"/>
    <w:rsid w:val="4C322AC3"/>
    <w:rsid w:val="4C3E2B07"/>
    <w:rsid w:val="4C417F50"/>
    <w:rsid w:val="4C480E82"/>
    <w:rsid w:val="4C4C6FD2"/>
    <w:rsid w:val="4C516396"/>
    <w:rsid w:val="4C5529D6"/>
    <w:rsid w:val="4C5D3778"/>
    <w:rsid w:val="4C8449BE"/>
    <w:rsid w:val="4C8A18A8"/>
    <w:rsid w:val="4CE45D70"/>
    <w:rsid w:val="4CED61D5"/>
    <w:rsid w:val="4CF17F09"/>
    <w:rsid w:val="4D1A7C62"/>
    <w:rsid w:val="4D1D1133"/>
    <w:rsid w:val="4D1E6ED1"/>
    <w:rsid w:val="4D202FDB"/>
    <w:rsid w:val="4D3C78EB"/>
    <w:rsid w:val="4D3D0820"/>
    <w:rsid w:val="4D476821"/>
    <w:rsid w:val="4D5B1648"/>
    <w:rsid w:val="4D76468F"/>
    <w:rsid w:val="4D7A0F6F"/>
    <w:rsid w:val="4D865214"/>
    <w:rsid w:val="4D877AF1"/>
    <w:rsid w:val="4D966547"/>
    <w:rsid w:val="4D9927B6"/>
    <w:rsid w:val="4D9C2B26"/>
    <w:rsid w:val="4D9F063F"/>
    <w:rsid w:val="4DAF7B35"/>
    <w:rsid w:val="4DB425B2"/>
    <w:rsid w:val="4DB85B55"/>
    <w:rsid w:val="4DC57ECC"/>
    <w:rsid w:val="4DCB31F4"/>
    <w:rsid w:val="4DCF0943"/>
    <w:rsid w:val="4DDC5268"/>
    <w:rsid w:val="4DF01987"/>
    <w:rsid w:val="4DF711BF"/>
    <w:rsid w:val="4DF97015"/>
    <w:rsid w:val="4E057729"/>
    <w:rsid w:val="4E0F6509"/>
    <w:rsid w:val="4E1B709E"/>
    <w:rsid w:val="4E1E7579"/>
    <w:rsid w:val="4E247DB2"/>
    <w:rsid w:val="4E273DE5"/>
    <w:rsid w:val="4E3C1285"/>
    <w:rsid w:val="4E622240"/>
    <w:rsid w:val="4E6E199A"/>
    <w:rsid w:val="4E732B63"/>
    <w:rsid w:val="4E80465C"/>
    <w:rsid w:val="4E816CDB"/>
    <w:rsid w:val="4E832A53"/>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21B45"/>
    <w:rsid w:val="4ED92F42"/>
    <w:rsid w:val="4EE52ED6"/>
    <w:rsid w:val="4EF32A24"/>
    <w:rsid w:val="4F03417E"/>
    <w:rsid w:val="4F055F79"/>
    <w:rsid w:val="4F0767F7"/>
    <w:rsid w:val="4F0911AA"/>
    <w:rsid w:val="4F0B5F04"/>
    <w:rsid w:val="4F2E3F43"/>
    <w:rsid w:val="4F311311"/>
    <w:rsid w:val="4F323FD1"/>
    <w:rsid w:val="4F384C4E"/>
    <w:rsid w:val="4F3D1DA7"/>
    <w:rsid w:val="4F462DD4"/>
    <w:rsid w:val="4F530FED"/>
    <w:rsid w:val="4F5F526E"/>
    <w:rsid w:val="4F793A96"/>
    <w:rsid w:val="4F883EEC"/>
    <w:rsid w:val="4F8F3395"/>
    <w:rsid w:val="4F980C3B"/>
    <w:rsid w:val="4FA13721"/>
    <w:rsid w:val="4FB55F4A"/>
    <w:rsid w:val="4FBE4051"/>
    <w:rsid w:val="4FE17E71"/>
    <w:rsid w:val="4FF05A13"/>
    <w:rsid w:val="4FF3367C"/>
    <w:rsid w:val="4FF85A65"/>
    <w:rsid w:val="500908E9"/>
    <w:rsid w:val="500A3041"/>
    <w:rsid w:val="5018040F"/>
    <w:rsid w:val="502B15E1"/>
    <w:rsid w:val="50382909"/>
    <w:rsid w:val="5045467D"/>
    <w:rsid w:val="504E2F62"/>
    <w:rsid w:val="505139DB"/>
    <w:rsid w:val="50551612"/>
    <w:rsid w:val="505B121A"/>
    <w:rsid w:val="505C7A00"/>
    <w:rsid w:val="5063132E"/>
    <w:rsid w:val="50763BCE"/>
    <w:rsid w:val="509E14F6"/>
    <w:rsid w:val="509F4C78"/>
    <w:rsid w:val="50A81A7F"/>
    <w:rsid w:val="50AE5C9D"/>
    <w:rsid w:val="50AF35D0"/>
    <w:rsid w:val="50B95466"/>
    <w:rsid w:val="50BB2978"/>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658AA"/>
    <w:rsid w:val="516A4389"/>
    <w:rsid w:val="516D4EF4"/>
    <w:rsid w:val="51843BE7"/>
    <w:rsid w:val="51910E50"/>
    <w:rsid w:val="519222BD"/>
    <w:rsid w:val="51A62B6E"/>
    <w:rsid w:val="51A75A21"/>
    <w:rsid w:val="51B146C7"/>
    <w:rsid w:val="51BF1980"/>
    <w:rsid w:val="51D35DCF"/>
    <w:rsid w:val="51DD3A7B"/>
    <w:rsid w:val="51DE7EB2"/>
    <w:rsid w:val="51FB4A9D"/>
    <w:rsid w:val="521479A3"/>
    <w:rsid w:val="521535B8"/>
    <w:rsid w:val="521F2B8A"/>
    <w:rsid w:val="52336A15"/>
    <w:rsid w:val="5244074B"/>
    <w:rsid w:val="52493113"/>
    <w:rsid w:val="52505F78"/>
    <w:rsid w:val="5253273C"/>
    <w:rsid w:val="52633E29"/>
    <w:rsid w:val="526B3F2A"/>
    <w:rsid w:val="527219DE"/>
    <w:rsid w:val="52766961"/>
    <w:rsid w:val="527903F5"/>
    <w:rsid w:val="527A7CB3"/>
    <w:rsid w:val="52A07386"/>
    <w:rsid w:val="52A164E9"/>
    <w:rsid w:val="52AB07CA"/>
    <w:rsid w:val="52B15087"/>
    <w:rsid w:val="52C063E6"/>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35B89"/>
    <w:rsid w:val="53B75823"/>
    <w:rsid w:val="53BD62D5"/>
    <w:rsid w:val="53C02595"/>
    <w:rsid w:val="53C3268C"/>
    <w:rsid w:val="53E27505"/>
    <w:rsid w:val="53FD66C5"/>
    <w:rsid w:val="53FE221A"/>
    <w:rsid w:val="53FF0758"/>
    <w:rsid w:val="540469E4"/>
    <w:rsid w:val="541073E2"/>
    <w:rsid w:val="541F62E9"/>
    <w:rsid w:val="54231CBD"/>
    <w:rsid w:val="5427555A"/>
    <w:rsid w:val="544016AA"/>
    <w:rsid w:val="544E7FAE"/>
    <w:rsid w:val="545850E2"/>
    <w:rsid w:val="54644B49"/>
    <w:rsid w:val="546754A1"/>
    <w:rsid w:val="546851B8"/>
    <w:rsid w:val="546D3FC4"/>
    <w:rsid w:val="547D31CE"/>
    <w:rsid w:val="548644E1"/>
    <w:rsid w:val="54940827"/>
    <w:rsid w:val="54952D11"/>
    <w:rsid w:val="54A366F7"/>
    <w:rsid w:val="54C067AF"/>
    <w:rsid w:val="54C17623"/>
    <w:rsid w:val="54D02E1F"/>
    <w:rsid w:val="54D57922"/>
    <w:rsid w:val="54D747FA"/>
    <w:rsid w:val="54DC2538"/>
    <w:rsid w:val="55061532"/>
    <w:rsid w:val="550B1741"/>
    <w:rsid w:val="552F6B42"/>
    <w:rsid w:val="55302A23"/>
    <w:rsid w:val="5540430F"/>
    <w:rsid w:val="554C162A"/>
    <w:rsid w:val="5550301C"/>
    <w:rsid w:val="55533D66"/>
    <w:rsid w:val="556F517F"/>
    <w:rsid w:val="557C4E2A"/>
    <w:rsid w:val="559430BC"/>
    <w:rsid w:val="559F3D1D"/>
    <w:rsid w:val="55BC2A71"/>
    <w:rsid w:val="55D66A87"/>
    <w:rsid w:val="55E30C67"/>
    <w:rsid w:val="55E409B1"/>
    <w:rsid w:val="56052016"/>
    <w:rsid w:val="560C2DCE"/>
    <w:rsid w:val="562B7073"/>
    <w:rsid w:val="562B79CA"/>
    <w:rsid w:val="56341519"/>
    <w:rsid w:val="56411A06"/>
    <w:rsid w:val="564E3947"/>
    <w:rsid w:val="56515D03"/>
    <w:rsid w:val="565F4031"/>
    <w:rsid w:val="56737851"/>
    <w:rsid w:val="567D15B1"/>
    <w:rsid w:val="56811AD2"/>
    <w:rsid w:val="5698669C"/>
    <w:rsid w:val="56A417B8"/>
    <w:rsid w:val="56B45E9F"/>
    <w:rsid w:val="56C70DE4"/>
    <w:rsid w:val="56D55DC9"/>
    <w:rsid w:val="56D92FA8"/>
    <w:rsid w:val="56ED315F"/>
    <w:rsid w:val="56F41E0B"/>
    <w:rsid w:val="570F33D0"/>
    <w:rsid w:val="57204187"/>
    <w:rsid w:val="57266C0E"/>
    <w:rsid w:val="572F79EC"/>
    <w:rsid w:val="57380A88"/>
    <w:rsid w:val="57450F26"/>
    <w:rsid w:val="574D3BFE"/>
    <w:rsid w:val="575136EE"/>
    <w:rsid w:val="57566CB8"/>
    <w:rsid w:val="57706D6F"/>
    <w:rsid w:val="57864B39"/>
    <w:rsid w:val="578A214F"/>
    <w:rsid w:val="578D66F1"/>
    <w:rsid w:val="57910BF6"/>
    <w:rsid w:val="57BB6A89"/>
    <w:rsid w:val="57C7498A"/>
    <w:rsid w:val="57E908C8"/>
    <w:rsid w:val="57EB5576"/>
    <w:rsid w:val="57EB5FEC"/>
    <w:rsid w:val="57FC2955"/>
    <w:rsid w:val="580A2560"/>
    <w:rsid w:val="5829090C"/>
    <w:rsid w:val="58305B05"/>
    <w:rsid w:val="583077A8"/>
    <w:rsid w:val="58331046"/>
    <w:rsid w:val="583E59F7"/>
    <w:rsid w:val="5847175B"/>
    <w:rsid w:val="58586865"/>
    <w:rsid w:val="585D60C3"/>
    <w:rsid w:val="58685B86"/>
    <w:rsid w:val="58756FE2"/>
    <w:rsid w:val="58903FE2"/>
    <w:rsid w:val="5892191B"/>
    <w:rsid w:val="58A667DA"/>
    <w:rsid w:val="58AF56DF"/>
    <w:rsid w:val="58B06B3A"/>
    <w:rsid w:val="58C521D5"/>
    <w:rsid w:val="58C752DF"/>
    <w:rsid w:val="58DB4DD2"/>
    <w:rsid w:val="58DF12A8"/>
    <w:rsid w:val="58EC5AC3"/>
    <w:rsid w:val="58ED289F"/>
    <w:rsid w:val="58ED7217"/>
    <w:rsid w:val="58EE3EA2"/>
    <w:rsid w:val="58FB162E"/>
    <w:rsid w:val="59091DA7"/>
    <w:rsid w:val="590A0FE6"/>
    <w:rsid w:val="5917721D"/>
    <w:rsid w:val="591B4018"/>
    <w:rsid w:val="59200A62"/>
    <w:rsid w:val="592A14B9"/>
    <w:rsid w:val="5933571A"/>
    <w:rsid w:val="59352B9C"/>
    <w:rsid w:val="59610683"/>
    <w:rsid w:val="597150E5"/>
    <w:rsid w:val="597F0DF8"/>
    <w:rsid w:val="59995ABA"/>
    <w:rsid w:val="59A938D2"/>
    <w:rsid w:val="59B05414"/>
    <w:rsid w:val="59B52271"/>
    <w:rsid w:val="59B85B4B"/>
    <w:rsid w:val="59E53864"/>
    <w:rsid w:val="5A0E2472"/>
    <w:rsid w:val="5A1678AB"/>
    <w:rsid w:val="5A24124F"/>
    <w:rsid w:val="5A300FAB"/>
    <w:rsid w:val="5A384712"/>
    <w:rsid w:val="5A3F3B91"/>
    <w:rsid w:val="5A4608F9"/>
    <w:rsid w:val="5A4609BF"/>
    <w:rsid w:val="5A494C3B"/>
    <w:rsid w:val="5A58216C"/>
    <w:rsid w:val="5A5C0D28"/>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80C77"/>
    <w:rsid w:val="5AFA08D0"/>
    <w:rsid w:val="5AFB7DCD"/>
    <w:rsid w:val="5B081745"/>
    <w:rsid w:val="5B08280B"/>
    <w:rsid w:val="5B1F1D55"/>
    <w:rsid w:val="5B2A09F8"/>
    <w:rsid w:val="5B301512"/>
    <w:rsid w:val="5B3F1522"/>
    <w:rsid w:val="5B462B1C"/>
    <w:rsid w:val="5B471B02"/>
    <w:rsid w:val="5B4A1E40"/>
    <w:rsid w:val="5B52137F"/>
    <w:rsid w:val="5B5B68CE"/>
    <w:rsid w:val="5B63086B"/>
    <w:rsid w:val="5B655E57"/>
    <w:rsid w:val="5B6D681B"/>
    <w:rsid w:val="5B7420A1"/>
    <w:rsid w:val="5B7A1BFB"/>
    <w:rsid w:val="5B9058E1"/>
    <w:rsid w:val="5B9059C0"/>
    <w:rsid w:val="5B96687A"/>
    <w:rsid w:val="5BA66DF2"/>
    <w:rsid w:val="5BAC6BE8"/>
    <w:rsid w:val="5BBB382C"/>
    <w:rsid w:val="5BBE7F92"/>
    <w:rsid w:val="5BD9443C"/>
    <w:rsid w:val="5C013209"/>
    <w:rsid w:val="5C061473"/>
    <w:rsid w:val="5C0B49A2"/>
    <w:rsid w:val="5C0E2CDD"/>
    <w:rsid w:val="5C1D1CA2"/>
    <w:rsid w:val="5C1E4C32"/>
    <w:rsid w:val="5C2004F5"/>
    <w:rsid w:val="5C356D4E"/>
    <w:rsid w:val="5C3D32BA"/>
    <w:rsid w:val="5C400FE7"/>
    <w:rsid w:val="5C544AA0"/>
    <w:rsid w:val="5C597646"/>
    <w:rsid w:val="5C744C5C"/>
    <w:rsid w:val="5C8C6D7E"/>
    <w:rsid w:val="5C937ADE"/>
    <w:rsid w:val="5C9B365E"/>
    <w:rsid w:val="5CB02E9A"/>
    <w:rsid w:val="5CC95415"/>
    <w:rsid w:val="5CCC4A29"/>
    <w:rsid w:val="5CD73CF4"/>
    <w:rsid w:val="5CF36A7B"/>
    <w:rsid w:val="5D0102D3"/>
    <w:rsid w:val="5D0848C0"/>
    <w:rsid w:val="5D0F7AF0"/>
    <w:rsid w:val="5D1A6C78"/>
    <w:rsid w:val="5D1B13DC"/>
    <w:rsid w:val="5D272F70"/>
    <w:rsid w:val="5D276568"/>
    <w:rsid w:val="5D4C0A12"/>
    <w:rsid w:val="5D54445D"/>
    <w:rsid w:val="5D5D7895"/>
    <w:rsid w:val="5D6C5972"/>
    <w:rsid w:val="5D6C6667"/>
    <w:rsid w:val="5D7F4D4A"/>
    <w:rsid w:val="5D8E587B"/>
    <w:rsid w:val="5D9A13AD"/>
    <w:rsid w:val="5DD81CFB"/>
    <w:rsid w:val="5DE22C28"/>
    <w:rsid w:val="5DFB26D4"/>
    <w:rsid w:val="5E033269"/>
    <w:rsid w:val="5E1D0436"/>
    <w:rsid w:val="5E2002BE"/>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53E1"/>
    <w:rsid w:val="5EBE6E21"/>
    <w:rsid w:val="5EC62C14"/>
    <w:rsid w:val="5EC66E93"/>
    <w:rsid w:val="5EC713B7"/>
    <w:rsid w:val="5EEE390A"/>
    <w:rsid w:val="5EF62DCD"/>
    <w:rsid w:val="5EFB1FD2"/>
    <w:rsid w:val="5F0B1D78"/>
    <w:rsid w:val="5F1A2DFE"/>
    <w:rsid w:val="5F1D6235"/>
    <w:rsid w:val="5F2A6692"/>
    <w:rsid w:val="5F406E19"/>
    <w:rsid w:val="5F5729E7"/>
    <w:rsid w:val="5F7843DA"/>
    <w:rsid w:val="5F995AA7"/>
    <w:rsid w:val="5FAD7930"/>
    <w:rsid w:val="5FBE26F7"/>
    <w:rsid w:val="5FC17815"/>
    <w:rsid w:val="5FC2741F"/>
    <w:rsid w:val="5FCD1FBF"/>
    <w:rsid w:val="5FCF79FB"/>
    <w:rsid w:val="5FE904E2"/>
    <w:rsid w:val="5FE92EC8"/>
    <w:rsid w:val="5FEC4A77"/>
    <w:rsid w:val="5FFC08B7"/>
    <w:rsid w:val="600B4656"/>
    <w:rsid w:val="60266554"/>
    <w:rsid w:val="602F47E9"/>
    <w:rsid w:val="603267D6"/>
    <w:rsid w:val="60333EB8"/>
    <w:rsid w:val="604775B1"/>
    <w:rsid w:val="605C2A19"/>
    <w:rsid w:val="60734CCA"/>
    <w:rsid w:val="607366D8"/>
    <w:rsid w:val="60893908"/>
    <w:rsid w:val="60AF1F64"/>
    <w:rsid w:val="60B10BFB"/>
    <w:rsid w:val="60DC2D05"/>
    <w:rsid w:val="60E97B55"/>
    <w:rsid w:val="60F15128"/>
    <w:rsid w:val="61005ED3"/>
    <w:rsid w:val="61026F68"/>
    <w:rsid w:val="61076101"/>
    <w:rsid w:val="61285244"/>
    <w:rsid w:val="61352015"/>
    <w:rsid w:val="61572CB4"/>
    <w:rsid w:val="615A106A"/>
    <w:rsid w:val="615A4BAF"/>
    <w:rsid w:val="61625A2D"/>
    <w:rsid w:val="61783A3D"/>
    <w:rsid w:val="617F491F"/>
    <w:rsid w:val="61925C13"/>
    <w:rsid w:val="61952B5D"/>
    <w:rsid w:val="61A95CE7"/>
    <w:rsid w:val="61AE19EB"/>
    <w:rsid w:val="61BC2817"/>
    <w:rsid w:val="61BF1B9C"/>
    <w:rsid w:val="61C44616"/>
    <w:rsid w:val="61CE07AB"/>
    <w:rsid w:val="61D25C8D"/>
    <w:rsid w:val="61D4389A"/>
    <w:rsid w:val="61DD3FEA"/>
    <w:rsid w:val="61DE64DD"/>
    <w:rsid w:val="61E512DB"/>
    <w:rsid w:val="61E92F65"/>
    <w:rsid w:val="61EF2482"/>
    <w:rsid w:val="61F65545"/>
    <w:rsid w:val="61FE0917"/>
    <w:rsid w:val="621220C8"/>
    <w:rsid w:val="621A15B0"/>
    <w:rsid w:val="621C3655"/>
    <w:rsid w:val="623F1D73"/>
    <w:rsid w:val="62402CDD"/>
    <w:rsid w:val="62427E39"/>
    <w:rsid w:val="6247289E"/>
    <w:rsid w:val="62514EEA"/>
    <w:rsid w:val="625D15DE"/>
    <w:rsid w:val="62600C89"/>
    <w:rsid w:val="626A2816"/>
    <w:rsid w:val="627D1458"/>
    <w:rsid w:val="62835480"/>
    <w:rsid w:val="62A74C9F"/>
    <w:rsid w:val="62AD7217"/>
    <w:rsid w:val="62B31E89"/>
    <w:rsid w:val="62C16DC0"/>
    <w:rsid w:val="62CB5FF0"/>
    <w:rsid w:val="62CC27C3"/>
    <w:rsid w:val="62CC4571"/>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AC368C"/>
    <w:rsid w:val="63C36AE6"/>
    <w:rsid w:val="63C97257"/>
    <w:rsid w:val="63DD5377"/>
    <w:rsid w:val="63E35EDD"/>
    <w:rsid w:val="63E36B02"/>
    <w:rsid w:val="63E36FD0"/>
    <w:rsid w:val="64001ED1"/>
    <w:rsid w:val="640F0B4B"/>
    <w:rsid w:val="64186868"/>
    <w:rsid w:val="641A4648"/>
    <w:rsid w:val="641B7D44"/>
    <w:rsid w:val="641F434A"/>
    <w:rsid w:val="642B44B5"/>
    <w:rsid w:val="643D15C5"/>
    <w:rsid w:val="64483028"/>
    <w:rsid w:val="644A53CF"/>
    <w:rsid w:val="644D621B"/>
    <w:rsid w:val="64542425"/>
    <w:rsid w:val="64573895"/>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A1A23"/>
    <w:rsid w:val="652C579B"/>
    <w:rsid w:val="655C1E5D"/>
    <w:rsid w:val="655F478C"/>
    <w:rsid w:val="656048B5"/>
    <w:rsid w:val="65611CBE"/>
    <w:rsid w:val="65707F62"/>
    <w:rsid w:val="658D7083"/>
    <w:rsid w:val="65BC050F"/>
    <w:rsid w:val="65BD4816"/>
    <w:rsid w:val="65D200F0"/>
    <w:rsid w:val="65E571C8"/>
    <w:rsid w:val="65EA735F"/>
    <w:rsid w:val="65ED4397"/>
    <w:rsid w:val="65F12633"/>
    <w:rsid w:val="66054080"/>
    <w:rsid w:val="66124991"/>
    <w:rsid w:val="66195D1F"/>
    <w:rsid w:val="661A5D47"/>
    <w:rsid w:val="661F549B"/>
    <w:rsid w:val="66223A36"/>
    <w:rsid w:val="662A4A23"/>
    <w:rsid w:val="66326DE1"/>
    <w:rsid w:val="66430AE1"/>
    <w:rsid w:val="66503714"/>
    <w:rsid w:val="665F74AA"/>
    <w:rsid w:val="666A7158"/>
    <w:rsid w:val="667D40AC"/>
    <w:rsid w:val="667E5054"/>
    <w:rsid w:val="66815672"/>
    <w:rsid w:val="6683704C"/>
    <w:rsid w:val="668A14BE"/>
    <w:rsid w:val="669435F8"/>
    <w:rsid w:val="66A5386C"/>
    <w:rsid w:val="66AF0431"/>
    <w:rsid w:val="66CA7019"/>
    <w:rsid w:val="66CC2D91"/>
    <w:rsid w:val="66D954ED"/>
    <w:rsid w:val="66E33D41"/>
    <w:rsid w:val="66E720AA"/>
    <w:rsid w:val="66F75934"/>
    <w:rsid w:val="66FD73EF"/>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1421E"/>
    <w:rsid w:val="67AC2BC3"/>
    <w:rsid w:val="67AF0C5B"/>
    <w:rsid w:val="67BD092C"/>
    <w:rsid w:val="67C6542F"/>
    <w:rsid w:val="67C94D88"/>
    <w:rsid w:val="67CF2E1B"/>
    <w:rsid w:val="67DB23C2"/>
    <w:rsid w:val="67EC7845"/>
    <w:rsid w:val="67F00D02"/>
    <w:rsid w:val="67F14704"/>
    <w:rsid w:val="67FA7B8C"/>
    <w:rsid w:val="681E7ECA"/>
    <w:rsid w:val="682B65B1"/>
    <w:rsid w:val="68420884"/>
    <w:rsid w:val="684E28F8"/>
    <w:rsid w:val="686B27FF"/>
    <w:rsid w:val="68703A9E"/>
    <w:rsid w:val="68855A28"/>
    <w:rsid w:val="688B3BAF"/>
    <w:rsid w:val="689A5A71"/>
    <w:rsid w:val="68A75A91"/>
    <w:rsid w:val="68A87CDF"/>
    <w:rsid w:val="68AA7102"/>
    <w:rsid w:val="68B02809"/>
    <w:rsid w:val="68BC6E36"/>
    <w:rsid w:val="68C17DFA"/>
    <w:rsid w:val="68CC52CB"/>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9C4FFF"/>
    <w:rsid w:val="69A045A3"/>
    <w:rsid w:val="69AA15D2"/>
    <w:rsid w:val="69B94D1D"/>
    <w:rsid w:val="69BD10B7"/>
    <w:rsid w:val="69BF0227"/>
    <w:rsid w:val="69C4365D"/>
    <w:rsid w:val="69D1246D"/>
    <w:rsid w:val="69E36BAA"/>
    <w:rsid w:val="69E834AA"/>
    <w:rsid w:val="69EB42BB"/>
    <w:rsid w:val="6A322FEF"/>
    <w:rsid w:val="6A477103"/>
    <w:rsid w:val="6A486BD3"/>
    <w:rsid w:val="6A4E61B3"/>
    <w:rsid w:val="6A591946"/>
    <w:rsid w:val="6A69079A"/>
    <w:rsid w:val="6A6C0D54"/>
    <w:rsid w:val="6A786D8C"/>
    <w:rsid w:val="6A8C272E"/>
    <w:rsid w:val="6A984028"/>
    <w:rsid w:val="6AA302AD"/>
    <w:rsid w:val="6AB71390"/>
    <w:rsid w:val="6ABB5DAB"/>
    <w:rsid w:val="6AC40A7F"/>
    <w:rsid w:val="6ACB4124"/>
    <w:rsid w:val="6ACF10CC"/>
    <w:rsid w:val="6AE52674"/>
    <w:rsid w:val="6AF127EC"/>
    <w:rsid w:val="6AFA42CB"/>
    <w:rsid w:val="6B015ED8"/>
    <w:rsid w:val="6B0D1532"/>
    <w:rsid w:val="6B2B5269"/>
    <w:rsid w:val="6B2B5D22"/>
    <w:rsid w:val="6B4B4617"/>
    <w:rsid w:val="6B4E57BB"/>
    <w:rsid w:val="6B513148"/>
    <w:rsid w:val="6B56478E"/>
    <w:rsid w:val="6B647753"/>
    <w:rsid w:val="6B7E2AFD"/>
    <w:rsid w:val="6B8E5844"/>
    <w:rsid w:val="6B945E48"/>
    <w:rsid w:val="6BA73DCD"/>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A748E"/>
    <w:rsid w:val="6C9B44A1"/>
    <w:rsid w:val="6CA65697"/>
    <w:rsid w:val="6CA65E33"/>
    <w:rsid w:val="6CAF5925"/>
    <w:rsid w:val="6CBA493C"/>
    <w:rsid w:val="6CCE7CE3"/>
    <w:rsid w:val="6CD73B2E"/>
    <w:rsid w:val="6CDA788A"/>
    <w:rsid w:val="6CDE1F9E"/>
    <w:rsid w:val="6CE26A07"/>
    <w:rsid w:val="6CF613D5"/>
    <w:rsid w:val="6CFF24A3"/>
    <w:rsid w:val="6D010A6D"/>
    <w:rsid w:val="6D093C6A"/>
    <w:rsid w:val="6D2D5D2B"/>
    <w:rsid w:val="6D3D2226"/>
    <w:rsid w:val="6D401DE3"/>
    <w:rsid w:val="6D486B44"/>
    <w:rsid w:val="6D496B19"/>
    <w:rsid w:val="6D5E6AF9"/>
    <w:rsid w:val="6D70041A"/>
    <w:rsid w:val="6D867515"/>
    <w:rsid w:val="6D9C4C8C"/>
    <w:rsid w:val="6DC01176"/>
    <w:rsid w:val="6DD07111"/>
    <w:rsid w:val="6DD2095A"/>
    <w:rsid w:val="6DD32C57"/>
    <w:rsid w:val="6DDC30BC"/>
    <w:rsid w:val="6DDD7BF2"/>
    <w:rsid w:val="6DEE183F"/>
    <w:rsid w:val="6DF23DD0"/>
    <w:rsid w:val="6DF6714D"/>
    <w:rsid w:val="6DF95032"/>
    <w:rsid w:val="6E0136AD"/>
    <w:rsid w:val="6E023052"/>
    <w:rsid w:val="6E111DFC"/>
    <w:rsid w:val="6E1D3ED3"/>
    <w:rsid w:val="6E2414B8"/>
    <w:rsid w:val="6E382BA0"/>
    <w:rsid w:val="6E47470B"/>
    <w:rsid w:val="6E47741D"/>
    <w:rsid w:val="6E5378F4"/>
    <w:rsid w:val="6E7B5C0E"/>
    <w:rsid w:val="6E8201DA"/>
    <w:rsid w:val="6E827BFD"/>
    <w:rsid w:val="6E83614F"/>
    <w:rsid w:val="6E8535DD"/>
    <w:rsid w:val="6E8E6B7E"/>
    <w:rsid w:val="6E9847AA"/>
    <w:rsid w:val="6EF365BB"/>
    <w:rsid w:val="6EF72976"/>
    <w:rsid w:val="6EFB4CF6"/>
    <w:rsid w:val="6F1A72DF"/>
    <w:rsid w:val="6F2A36F6"/>
    <w:rsid w:val="6F327E52"/>
    <w:rsid w:val="6F397287"/>
    <w:rsid w:val="6F410ABA"/>
    <w:rsid w:val="6F60590D"/>
    <w:rsid w:val="6F6079D6"/>
    <w:rsid w:val="6F642C05"/>
    <w:rsid w:val="6F711839"/>
    <w:rsid w:val="6F750326"/>
    <w:rsid w:val="6F80296B"/>
    <w:rsid w:val="6F821CDE"/>
    <w:rsid w:val="6F881820"/>
    <w:rsid w:val="6F920302"/>
    <w:rsid w:val="6F931D99"/>
    <w:rsid w:val="6F964E5B"/>
    <w:rsid w:val="6F9B0185"/>
    <w:rsid w:val="6FA04AAA"/>
    <w:rsid w:val="6FAF3D7E"/>
    <w:rsid w:val="6FAF6D6D"/>
    <w:rsid w:val="6FBB7E67"/>
    <w:rsid w:val="6FC24297"/>
    <w:rsid w:val="6FC36CFC"/>
    <w:rsid w:val="6FD35191"/>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41506"/>
    <w:rsid w:val="708446DD"/>
    <w:rsid w:val="7085583C"/>
    <w:rsid w:val="708C533F"/>
    <w:rsid w:val="708D0E5C"/>
    <w:rsid w:val="70A92A4E"/>
    <w:rsid w:val="70CA6ECF"/>
    <w:rsid w:val="70D86148"/>
    <w:rsid w:val="70DA254F"/>
    <w:rsid w:val="70DB16E8"/>
    <w:rsid w:val="70DE7D7F"/>
    <w:rsid w:val="70F33611"/>
    <w:rsid w:val="70FD2A7E"/>
    <w:rsid w:val="71074CF4"/>
    <w:rsid w:val="710F044A"/>
    <w:rsid w:val="71121CE9"/>
    <w:rsid w:val="71282CE6"/>
    <w:rsid w:val="712B2DAA"/>
    <w:rsid w:val="713814D1"/>
    <w:rsid w:val="71436E6A"/>
    <w:rsid w:val="71471D08"/>
    <w:rsid w:val="714C7CA3"/>
    <w:rsid w:val="714F6A99"/>
    <w:rsid w:val="71634126"/>
    <w:rsid w:val="716D2A07"/>
    <w:rsid w:val="71705795"/>
    <w:rsid w:val="71731D72"/>
    <w:rsid w:val="71A60F84"/>
    <w:rsid w:val="71A61E2A"/>
    <w:rsid w:val="71BF419D"/>
    <w:rsid w:val="71DF714A"/>
    <w:rsid w:val="71ED5896"/>
    <w:rsid w:val="71F473AF"/>
    <w:rsid w:val="71F86A63"/>
    <w:rsid w:val="720D1A15"/>
    <w:rsid w:val="722577FA"/>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2FD2525"/>
    <w:rsid w:val="730C0961"/>
    <w:rsid w:val="73100BB1"/>
    <w:rsid w:val="7319070C"/>
    <w:rsid w:val="731A46C8"/>
    <w:rsid w:val="732950C8"/>
    <w:rsid w:val="733122E5"/>
    <w:rsid w:val="733D31FE"/>
    <w:rsid w:val="733E6DC5"/>
    <w:rsid w:val="735361EB"/>
    <w:rsid w:val="736F27DE"/>
    <w:rsid w:val="73746EBF"/>
    <w:rsid w:val="73780CBE"/>
    <w:rsid w:val="73791846"/>
    <w:rsid w:val="739A58C4"/>
    <w:rsid w:val="739F2EE1"/>
    <w:rsid w:val="73AE03DD"/>
    <w:rsid w:val="73B057E9"/>
    <w:rsid w:val="73BE1CB4"/>
    <w:rsid w:val="73E0481B"/>
    <w:rsid w:val="73E7431D"/>
    <w:rsid w:val="73E84F83"/>
    <w:rsid w:val="73EA2124"/>
    <w:rsid w:val="73EB4C1D"/>
    <w:rsid w:val="73EF0089"/>
    <w:rsid w:val="73F465A7"/>
    <w:rsid w:val="73F87705"/>
    <w:rsid w:val="74052AAA"/>
    <w:rsid w:val="74105A00"/>
    <w:rsid w:val="74143584"/>
    <w:rsid w:val="74152A1E"/>
    <w:rsid w:val="7416564C"/>
    <w:rsid w:val="741A356F"/>
    <w:rsid w:val="7442320A"/>
    <w:rsid w:val="74454185"/>
    <w:rsid w:val="74474EEF"/>
    <w:rsid w:val="7453069F"/>
    <w:rsid w:val="746E121A"/>
    <w:rsid w:val="746E26FC"/>
    <w:rsid w:val="74795A01"/>
    <w:rsid w:val="747B537A"/>
    <w:rsid w:val="748E0E98"/>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C537CD"/>
    <w:rsid w:val="75D43FB5"/>
    <w:rsid w:val="75D679B5"/>
    <w:rsid w:val="76011109"/>
    <w:rsid w:val="7617777A"/>
    <w:rsid w:val="76244682"/>
    <w:rsid w:val="762C57DE"/>
    <w:rsid w:val="762D1F36"/>
    <w:rsid w:val="762E7E87"/>
    <w:rsid w:val="76366479"/>
    <w:rsid w:val="76375D4D"/>
    <w:rsid w:val="767306AC"/>
    <w:rsid w:val="768330C2"/>
    <w:rsid w:val="76833C35"/>
    <w:rsid w:val="76872831"/>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2C8"/>
    <w:rsid w:val="775C488A"/>
    <w:rsid w:val="777D526A"/>
    <w:rsid w:val="77891251"/>
    <w:rsid w:val="778D2888"/>
    <w:rsid w:val="778F59A2"/>
    <w:rsid w:val="779C4248"/>
    <w:rsid w:val="77A805EB"/>
    <w:rsid w:val="77D73344"/>
    <w:rsid w:val="77E9601B"/>
    <w:rsid w:val="77EB7FAB"/>
    <w:rsid w:val="77FE6B23"/>
    <w:rsid w:val="7801254F"/>
    <w:rsid w:val="78014AF9"/>
    <w:rsid w:val="78144598"/>
    <w:rsid w:val="781D6544"/>
    <w:rsid w:val="7826607A"/>
    <w:rsid w:val="78393661"/>
    <w:rsid w:val="78472EFE"/>
    <w:rsid w:val="78746DE5"/>
    <w:rsid w:val="787755CF"/>
    <w:rsid w:val="787C5BC6"/>
    <w:rsid w:val="7884356B"/>
    <w:rsid w:val="78866778"/>
    <w:rsid w:val="789F424A"/>
    <w:rsid w:val="78A06D1B"/>
    <w:rsid w:val="78AD574C"/>
    <w:rsid w:val="78C1076D"/>
    <w:rsid w:val="78C80755"/>
    <w:rsid w:val="78E71CAD"/>
    <w:rsid w:val="78EE2FFF"/>
    <w:rsid w:val="791161EB"/>
    <w:rsid w:val="792C1DB9"/>
    <w:rsid w:val="792E168A"/>
    <w:rsid w:val="793F39FB"/>
    <w:rsid w:val="795B547F"/>
    <w:rsid w:val="795D02C2"/>
    <w:rsid w:val="79621333"/>
    <w:rsid w:val="796F6E9B"/>
    <w:rsid w:val="79815925"/>
    <w:rsid w:val="799A287B"/>
    <w:rsid w:val="799F20EA"/>
    <w:rsid w:val="79A13F5B"/>
    <w:rsid w:val="79BC7FD8"/>
    <w:rsid w:val="79C04E7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8C48BA"/>
    <w:rsid w:val="7A94376E"/>
    <w:rsid w:val="7A991981"/>
    <w:rsid w:val="7AA117CE"/>
    <w:rsid w:val="7AA46B9B"/>
    <w:rsid w:val="7AB21E46"/>
    <w:rsid w:val="7AB3674F"/>
    <w:rsid w:val="7AB45BBF"/>
    <w:rsid w:val="7ABE6A3D"/>
    <w:rsid w:val="7AC236E0"/>
    <w:rsid w:val="7B230C06"/>
    <w:rsid w:val="7B250039"/>
    <w:rsid w:val="7B2965AD"/>
    <w:rsid w:val="7B2B7A96"/>
    <w:rsid w:val="7B2E6F40"/>
    <w:rsid w:val="7B2F0DB9"/>
    <w:rsid w:val="7B492AB4"/>
    <w:rsid w:val="7B5812E9"/>
    <w:rsid w:val="7B6E6D8B"/>
    <w:rsid w:val="7B8201B5"/>
    <w:rsid w:val="7B891830"/>
    <w:rsid w:val="7B8D0C64"/>
    <w:rsid w:val="7B8E01BE"/>
    <w:rsid w:val="7BBB4D5C"/>
    <w:rsid w:val="7BBC3CAF"/>
    <w:rsid w:val="7BC05E80"/>
    <w:rsid w:val="7BD02F3A"/>
    <w:rsid w:val="7BF17C99"/>
    <w:rsid w:val="7C236804"/>
    <w:rsid w:val="7C252D2F"/>
    <w:rsid w:val="7C324623"/>
    <w:rsid w:val="7C4554B8"/>
    <w:rsid w:val="7C4A60FE"/>
    <w:rsid w:val="7C54428D"/>
    <w:rsid w:val="7C574E84"/>
    <w:rsid w:val="7C5E4792"/>
    <w:rsid w:val="7C7A1A6C"/>
    <w:rsid w:val="7C870C47"/>
    <w:rsid w:val="7C896BD7"/>
    <w:rsid w:val="7C933B4E"/>
    <w:rsid w:val="7C985EF6"/>
    <w:rsid w:val="7CB92C74"/>
    <w:rsid w:val="7CC04CEF"/>
    <w:rsid w:val="7CC256FE"/>
    <w:rsid w:val="7CCA3477"/>
    <w:rsid w:val="7CE50166"/>
    <w:rsid w:val="7CF20C20"/>
    <w:rsid w:val="7D05679C"/>
    <w:rsid w:val="7D166C03"/>
    <w:rsid w:val="7D2860D5"/>
    <w:rsid w:val="7D2F5464"/>
    <w:rsid w:val="7D3F4371"/>
    <w:rsid w:val="7D557358"/>
    <w:rsid w:val="7D5A16B6"/>
    <w:rsid w:val="7D5E106C"/>
    <w:rsid w:val="7D681D42"/>
    <w:rsid w:val="7D6A0715"/>
    <w:rsid w:val="7D6E2CAE"/>
    <w:rsid w:val="7D740E3A"/>
    <w:rsid w:val="7DBB06BD"/>
    <w:rsid w:val="7DE33BE3"/>
    <w:rsid w:val="7DF02664"/>
    <w:rsid w:val="7E2E6C4B"/>
    <w:rsid w:val="7E2E7A36"/>
    <w:rsid w:val="7E3169CE"/>
    <w:rsid w:val="7E482B8F"/>
    <w:rsid w:val="7E484F9C"/>
    <w:rsid w:val="7E4C322D"/>
    <w:rsid w:val="7E555B36"/>
    <w:rsid w:val="7E5619C9"/>
    <w:rsid w:val="7E6671D0"/>
    <w:rsid w:val="7E7334C1"/>
    <w:rsid w:val="7E7447B8"/>
    <w:rsid w:val="7E7464EF"/>
    <w:rsid w:val="7E7E58CD"/>
    <w:rsid w:val="7E7F2B5A"/>
    <w:rsid w:val="7E7F3309"/>
    <w:rsid w:val="7E930641"/>
    <w:rsid w:val="7E977723"/>
    <w:rsid w:val="7EA82160"/>
    <w:rsid w:val="7EAA7A04"/>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3533FA"/>
    <w:rsid w:val="7F533C32"/>
    <w:rsid w:val="7F5A1722"/>
    <w:rsid w:val="7F5E4D31"/>
    <w:rsid w:val="7F6E0F56"/>
    <w:rsid w:val="7F730C03"/>
    <w:rsid w:val="7F7973D7"/>
    <w:rsid w:val="7F7A6DA0"/>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4"/>
    <w:semiHidden/>
    <w:unhideWhenUsed/>
    <w:qFormat/>
    <w:uiPriority w:val="99"/>
    <w:pPr>
      <w:jc w:val="left"/>
    </w:pPr>
  </w:style>
  <w:style w:type="paragraph" w:styleId="7">
    <w:name w:val="Date"/>
    <w:basedOn w:val="1"/>
    <w:next w:val="1"/>
    <w:link w:val="48"/>
    <w:semiHidden/>
    <w:unhideWhenUsed/>
    <w:qFormat/>
    <w:uiPriority w:val="99"/>
    <w:pPr>
      <w:ind w:left="100" w:leftChars="2500"/>
    </w:pPr>
  </w:style>
  <w:style w:type="paragraph" w:styleId="8">
    <w:name w:val="Balloon Text"/>
    <w:basedOn w:val="1"/>
    <w:link w:val="31"/>
    <w:semiHidden/>
    <w:unhideWhenUsed/>
    <w:qFormat/>
    <w:uiPriority w:val="99"/>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link w:val="37"/>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45"/>
    <w:semiHidden/>
    <w:unhideWhenUsed/>
    <w:qFormat/>
    <w:uiPriority w:val="99"/>
    <w:rPr>
      <w:b/>
      <w:bCs/>
    </w:r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none"/>
    </w:rPr>
  </w:style>
  <w:style w:type="character" w:styleId="19">
    <w:name w:val="Emphasis"/>
    <w:basedOn w:val="16"/>
    <w:qFormat/>
    <w:uiPriority w:val="0"/>
    <w:rPr>
      <w:i/>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semiHidden/>
    <w:unhideWhenUsed/>
    <w:qFormat/>
    <w:uiPriority w:val="99"/>
    <w:rPr>
      <w:sz w:val="21"/>
      <w:szCs w:val="21"/>
    </w:rPr>
  </w:style>
  <w:style w:type="character" w:customStyle="1" w:styleId="22">
    <w:name w:val="标题 1 字符"/>
    <w:basedOn w:val="16"/>
    <w:link w:val="2"/>
    <w:qFormat/>
    <w:uiPriority w:val="9"/>
    <w:rPr>
      <w:b/>
      <w:bCs/>
      <w:kern w:val="44"/>
      <w:sz w:val="44"/>
      <w:szCs w:val="44"/>
    </w:rPr>
  </w:style>
  <w:style w:type="character" w:customStyle="1" w:styleId="23">
    <w:name w:val="标题 2 字符"/>
    <w:basedOn w:val="16"/>
    <w:link w:val="3"/>
    <w:semiHidden/>
    <w:qFormat/>
    <w:uiPriority w:val="9"/>
    <w:rPr>
      <w:rFonts w:asciiTheme="majorHAnsi" w:hAnsiTheme="majorHAnsi" w:eastAsiaTheme="majorEastAsia" w:cstheme="majorBidi"/>
      <w:b/>
      <w:bCs/>
      <w:sz w:val="32"/>
      <w:szCs w:val="32"/>
    </w:rPr>
  </w:style>
  <w:style w:type="paragraph" w:customStyle="1" w:styleId="24">
    <w:name w:val="11111"/>
    <w:basedOn w:val="12"/>
    <w:link w:val="26"/>
    <w:qFormat/>
    <w:uiPriority w:val="0"/>
    <w:pPr>
      <w:spacing w:line="500" w:lineRule="exact"/>
      <w:ind w:left="0" w:leftChars="0" w:firstLine="420" w:firstLineChars="200"/>
      <w:jc w:val="left"/>
      <w:outlineLvl w:val="1"/>
    </w:pPr>
    <w:rPr>
      <w:rFonts w:hint="eastAsia" w:ascii="Arial" w:hAnsi="Arial" w:eastAsia="宋体" w:cs="Times New Roman"/>
      <w:b/>
      <w:color w:val="000000" w:themeColor="text1"/>
      <w:sz w:val="32"/>
      <w:szCs w:val="32"/>
      <w14:textFill>
        <w14:solidFill>
          <w14:schemeClr w14:val="tx1"/>
        </w14:solidFill>
      </w14:textFill>
    </w:rPr>
  </w:style>
  <w:style w:type="paragraph" w:customStyle="1" w:styleId="25">
    <w:name w:val="22222"/>
    <w:basedOn w:val="1"/>
    <w:qFormat/>
    <w:uiPriority w:val="0"/>
    <w:pPr>
      <w:spacing w:line="500" w:lineRule="exact"/>
      <w:ind w:firstLine="560" w:firstLineChars="200"/>
    </w:pPr>
    <w:rPr>
      <w:rFonts w:ascii="Calibri" w:hAnsi="Calibri" w:eastAsia="宋体" w:cs="Times New Roman"/>
      <w:sz w:val="28"/>
    </w:rPr>
  </w:style>
  <w:style w:type="character" w:customStyle="1" w:styleId="26">
    <w:name w:val="11111 Char"/>
    <w:link w:val="24"/>
    <w:qFormat/>
    <w:uiPriority w:val="0"/>
    <w:rPr>
      <w:rFonts w:hint="eastAsia" w:ascii="Arial" w:hAnsi="Arial" w:eastAsia="宋体" w:cs="Times New Roman"/>
      <w:b/>
      <w:color w:val="000000" w:themeColor="text1"/>
      <w:kern w:val="0"/>
      <w:sz w:val="32"/>
      <w:szCs w:val="32"/>
      <w:lang w:bidi="ar"/>
      <w14:textFill>
        <w14:solidFill>
          <w14:schemeClr w14:val="tx1"/>
        </w14:solidFill>
      </w14:textFill>
    </w:rPr>
  </w:style>
  <w:style w:type="paragraph" w:customStyle="1" w:styleId="2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8">
    <w:name w:val="高参二"/>
    <w:basedOn w:val="3"/>
    <w:next w:val="1"/>
    <w:qFormat/>
    <w:uiPriority w:val="0"/>
    <w:pPr>
      <w:spacing w:line="500" w:lineRule="exact"/>
      <w:ind w:firstLine="643" w:firstLineChars="200"/>
    </w:pPr>
    <w:rPr>
      <w:rFonts w:ascii="Arial" w:hAnsi="Arial" w:eastAsia="宋体"/>
      <w:szCs w:val="22"/>
    </w:rPr>
  </w:style>
  <w:style w:type="character" w:customStyle="1" w:styleId="29">
    <w:name w:val="页眉 字符"/>
    <w:basedOn w:val="16"/>
    <w:link w:val="10"/>
    <w:qFormat/>
    <w:uiPriority w:val="99"/>
    <w:rPr>
      <w:sz w:val="18"/>
      <w:szCs w:val="18"/>
    </w:rPr>
  </w:style>
  <w:style w:type="character" w:customStyle="1" w:styleId="30">
    <w:name w:val="页脚 字符"/>
    <w:basedOn w:val="16"/>
    <w:link w:val="9"/>
    <w:qFormat/>
    <w:uiPriority w:val="99"/>
    <w:rPr>
      <w:sz w:val="18"/>
      <w:szCs w:val="18"/>
    </w:rPr>
  </w:style>
  <w:style w:type="character" w:customStyle="1" w:styleId="31">
    <w:name w:val="批注框文本 字符"/>
    <w:basedOn w:val="16"/>
    <w:link w:val="8"/>
    <w:semiHidden/>
    <w:qFormat/>
    <w:uiPriority w:val="99"/>
    <w:rPr>
      <w:sz w:val="18"/>
      <w:szCs w:val="18"/>
    </w:rPr>
  </w:style>
  <w:style w:type="character" w:customStyle="1" w:styleId="32">
    <w:name w:val="标题 4 字符"/>
    <w:basedOn w:val="16"/>
    <w:link w:val="5"/>
    <w:semiHidden/>
    <w:qFormat/>
    <w:uiPriority w:val="9"/>
    <w:rPr>
      <w:rFonts w:asciiTheme="majorHAnsi" w:hAnsiTheme="majorHAnsi" w:eastAsiaTheme="majorEastAsia" w:cstheme="majorBidi"/>
      <w:b/>
      <w:bCs/>
      <w:sz w:val="28"/>
      <w:szCs w:val="28"/>
    </w:rPr>
  </w:style>
  <w:style w:type="character" w:customStyle="1" w:styleId="33">
    <w:name w:val="标题 3 字符"/>
    <w:basedOn w:val="16"/>
    <w:link w:val="4"/>
    <w:semiHidden/>
    <w:qFormat/>
    <w:uiPriority w:val="9"/>
    <w:rPr>
      <w:b/>
      <w:bCs/>
      <w:sz w:val="32"/>
      <w:szCs w:val="32"/>
    </w:rPr>
  </w:style>
  <w:style w:type="paragraph" w:customStyle="1" w:styleId="34">
    <w:name w:val="_Style 2"/>
    <w:basedOn w:val="1"/>
    <w:next w:val="1"/>
    <w:qFormat/>
    <w:uiPriority w:val="0"/>
    <w:pPr>
      <w:pBdr>
        <w:bottom w:val="single" w:color="auto" w:sz="6" w:space="1"/>
      </w:pBdr>
      <w:jc w:val="center"/>
    </w:pPr>
    <w:rPr>
      <w:rFonts w:ascii="Arial" w:eastAsia="宋体"/>
      <w:vanish/>
      <w:sz w:val="16"/>
    </w:rPr>
  </w:style>
  <w:style w:type="paragraph" w:customStyle="1" w:styleId="35">
    <w:name w:val="_Style 3"/>
    <w:basedOn w:val="1"/>
    <w:next w:val="1"/>
    <w:qFormat/>
    <w:uiPriority w:val="0"/>
    <w:pPr>
      <w:pBdr>
        <w:top w:val="single" w:color="auto" w:sz="6" w:space="1"/>
      </w:pBdr>
      <w:jc w:val="center"/>
    </w:pPr>
    <w:rPr>
      <w:rFonts w:ascii="Arial" w:eastAsia="宋体"/>
      <w:vanish/>
      <w:sz w:val="16"/>
    </w:rPr>
  </w:style>
  <w:style w:type="character" w:customStyle="1" w:styleId="36">
    <w:name w:val="hover20"/>
    <w:basedOn w:val="16"/>
    <w:qFormat/>
    <w:uiPriority w:val="0"/>
    <w:rPr>
      <w:color w:val="557EE7"/>
    </w:rPr>
  </w:style>
  <w:style w:type="character" w:customStyle="1" w:styleId="37">
    <w:name w:val="目录 2 字符"/>
    <w:link w:val="12"/>
    <w:qFormat/>
    <w:uiPriority w:val="39"/>
  </w:style>
  <w:style w:type="paragraph" w:customStyle="1" w:styleId="38">
    <w:name w:val="高参二级"/>
    <w:basedOn w:val="1"/>
    <w:link w:val="39"/>
    <w:qFormat/>
    <w:uiPriority w:val="0"/>
    <w:pPr>
      <w:ind w:firstLine="640" w:firstLineChars="200"/>
    </w:pPr>
    <w:rPr>
      <w:rFonts w:ascii="宋体" w:hAnsi="宋体" w:eastAsia="宋体"/>
      <w:b/>
      <w:sz w:val="32"/>
      <w:szCs w:val="32"/>
    </w:rPr>
  </w:style>
  <w:style w:type="character" w:customStyle="1" w:styleId="39">
    <w:name w:val="高参二级 Char"/>
    <w:basedOn w:val="16"/>
    <w:link w:val="38"/>
    <w:qFormat/>
    <w:uiPriority w:val="0"/>
    <w:rPr>
      <w:rFonts w:ascii="宋体" w:hAnsi="宋体" w:cstheme="minorBidi"/>
      <w:b/>
      <w:kern w:val="2"/>
      <w:sz w:val="32"/>
      <w:szCs w:val="32"/>
    </w:rPr>
  </w:style>
  <w:style w:type="paragraph" w:customStyle="1" w:styleId="40">
    <w:name w:val="高参一级"/>
    <w:basedOn w:val="1"/>
    <w:link w:val="42"/>
    <w:qFormat/>
    <w:uiPriority w:val="0"/>
    <w:pPr>
      <w:spacing w:line="500" w:lineRule="exact"/>
      <w:jc w:val="center"/>
      <w:outlineLvl w:val="0"/>
    </w:pPr>
    <w:rPr>
      <w:rFonts w:ascii="宋体" w:hAnsi="宋体" w:eastAsia="宋体"/>
      <w:b/>
      <w:sz w:val="44"/>
      <w:szCs w:val="44"/>
    </w:rPr>
  </w:style>
  <w:style w:type="paragraph" w:customStyle="1" w:styleId="41">
    <w:name w:val="高参正文"/>
    <w:basedOn w:val="1"/>
    <w:link w:val="43"/>
    <w:qFormat/>
    <w:uiPriority w:val="0"/>
    <w:pPr>
      <w:widowControl/>
      <w:spacing w:line="500" w:lineRule="exact"/>
      <w:ind w:firstLine="556"/>
      <w:jc w:val="left"/>
    </w:pPr>
    <w:rPr>
      <w:rFonts w:ascii="宋体" w:hAnsi="宋体" w:eastAsia="宋体" w:cs="Times New Roman"/>
      <w:kern w:val="0"/>
      <w:sz w:val="28"/>
      <w:szCs w:val="28"/>
    </w:rPr>
  </w:style>
  <w:style w:type="character" w:customStyle="1" w:styleId="42">
    <w:name w:val="高参一级 Char"/>
    <w:basedOn w:val="16"/>
    <w:link w:val="40"/>
    <w:qFormat/>
    <w:uiPriority w:val="0"/>
    <w:rPr>
      <w:rFonts w:ascii="宋体" w:hAnsi="宋体" w:cstheme="minorBidi"/>
      <w:b/>
      <w:kern w:val="2"/>
      <w:sz w:val="44"/>
      <w:szCs w:val="44"/>
    </w:rPr>
  </w:style>
  <w:style w:type="character" w:customStyle="1" w:styleId="43">
    <w:name w:val="高参正文 Char"/>
    <w:basedOn w:val="16"/>
    <w:link w:val="41"/>
    <w:qFormat/>
    <w:uiPriority w:val="0"/>
    <w:rPr>
      <w:rFonts w:ascii="宋体" w:hAnsi="宋体"/>
      <w:sz w:val="28"/>
      <w:szCs w:val="28"/>
    </w:rPr>
  </w:style>
  <w:style w:type="character" w:customStyle="1" w:styleId="44">
    <w:name w:val="批注文字 字符"/>
    <w:basedOn w:val="16"/>
    <w:link w:val="6"/>
    <w:semiHidden/>
    <w:qFormat/>
    <w:uiPriority w:val="99"/>
    <w:rPr>
      <w:rFonts w:asciiTheme="minorHAnsi" w:hAnsiTheme="minorHAnsi" w:eastAsiaTheme="minorEastAsia" w:cstheme="minorBidi"/>
      <w:kern w:val="2"/>
      <w:sz w:val="21"/>
      <w:szCs w:val="22"/>
    </w:rPr>
  </w:style>
  <w:style w:type="character" w:customStyle="1" w:styleId="45">
    <w:name w:val="批注主题 字符"/>
    <w:basedOn w:val="44"/>
    <w:link w:val="14"/>
    <w:semiHidden/>
    <w:qFormat/>
    <w:uiPriority w:val="99"/>
    <w:rPr>
      <w:rFonts w:asciiTheme="minorHAnsi" w:hAnsiTheme="minorHAnsi" w:eastAsiaTheme="minorEastAsia" w:cstheme="minorBidi"/>
      <w:b/>
      <w:bCs/>
      <w:kern w:val="2"/>
      <w:sz w:val="21"/>
      <w:szCs w:val="22"/>
    </w:rPr>
  </w:style>
  <w:style w:type="character" w:customStyle="1" w:styleId="46">
    <w:name w:val="未处理的提及1"/>
    <w:basedOn w:val="16"/>
    <w:semiHidden/>
    <w:unhideWhenUsed/>
    <w:qFormat/>
    <w:uiPriority w:val="99"/>
    <w:rPr>
      <w:color w:val="605E5C"/>
      <w:shd w:val="clear" w:color="auto" w:fill="E1DFDD"/>
    </w:rPr>
  </w:style>
  <w:style w:type="character" w:customStyle="1" w:styleId="47">
    <w:name w:val="未处理的提及2"/>
    <w:basedOn w:val="16"/>
    <w:semiHidden/>
    <w:unhideWhenUsed/>
    <w:qFormat/>
    <w:uiPriority w:val="99"/>
    <w:rPr>
      <w:color w:val="605E5C"/>
      <w:shd w:val="clear" w:color="auto" w:fill="E1DFDD"/>
    </w:rPr>
  </w:style>
  <w:style w:type="character" w:customStyle="1" w:styleId="48">
    <w:name w:val="日期 字符"/>
    <w:basedOn w:val="16"/>
    <w:link w:val="7"/>
    <w:semiHidden/>
    <w:qFormat/>
    <w:uiPriority w:val="99"/>
    <w:rPr>
      <w:rFonts w:asciiTheme="minorHAnsi" w:hAnsiTheme="minorHAnsi" w:eastAsiaTheme="minorEastAsia" w:cstheme="minorBidi"/>
      <w:kern w:val="2"/>
      <w:sz w:val="21"/>
      <w:szCs w:val="22"/>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C3CA4-8D9C-476A-B3DA-53F454761D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2134</Words>
  <Characters>12170</Characters>
  <Lines>101</Lines>
  <Paragraphs>28</Paragraphs>
  <TotalTime>19</TotalTime>
  <ScaleCrop>false</ScaleCrop>
  <LinksUpToDate>false</LinksUpToDate>
  <CharactersWithSpaces>14276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2026-05-29T02:57:00Z</dcterms:created>
  <dc:creator>lenovo</dc:creator>
  <cp:lastModifiedBy>nana</cp:lastModifiedBy>
  <cp:lastPrinted>2025-12-30T08:08:00Z</cp:lastPrinted>
  <dcterms:modified xsi:type="dcterms:W3CDTF">2026-06-02T01:07:51Z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7A94A9D2B95C49A5A7E749731BFAEAF1_13</vt:lpwstr>
  </property>
  <property fmtid="{D5CDD505-2E9C-101B-9397-08002B2CF9AE}" pid="4" name="KSOTemplateDocerSaveRecord">
    <vt:lpwstr>eyJoZGlkIjoiMDg5ZTk0ODM5Y2NhNmFmNzg3ZDNhMmY4YTk2OTM4MGEifQ==</vt:lpwstr>
  </property>
</Properties>
</file>