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6</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第03期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（总第92期）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二六</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四</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5"/>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ascii="Times New Roman" w:hAnsi="Times New Roman" w:eastAsia="宋体" w:cs="Times New Roman"/>
          <w:b w:val="0"/>
          <w:sz w:val="28"/>
          <w:szCs w:val="28"/>
          <w:lang w:val="zh-CN"/>
        </w:rPr>
      </w:sdtEndPr>
      <w:sdtContent>
        <w:p>
          <w:pPr>
            <w:pStyle w:val="11"/>
            <w:tabs>
              <w:tab w:val="right" w:leader="dot" w:pos="8296"/>
            </w:tabs>
            <w:rPr>
              <w:rFonts w:ascii="Times New Roman" w:hAnsi="Times New Roman" w:cs="Times New Roman"/>
              <w:sz w:val="28"/>
            </w:rPr>
          </w:pPr>
          <w:r>
            <w:rPr>
              <w:rFonts w:ascii="Times New Roman" w:hAnsi="Times New Roman" w:eastAsia="宋体" w:cs="Times New Roman"/>
              <w:b/>
              <w:sz w:val="96"/>
              <w:szCs w:val="28"/>
            </w:rPr>
            <w:fldChar w:fldCharType="begin"/>
          </w:r>
          <w:r>
            <w:rPr>
              <w:rFonts w:ascii="Times New Roman" w:hAnsi="Times New Roman" w:eastAsia="宋体" w:cs="Times New Roman"/>
              <w:sz w:val="96"/>
              <w:szCs w:val="28"/>
            </w:rPr>
            <w:instrText xml:space="preserve"> TOC \o "1-3" \h \z \u </w:instrText>
          </w:r>
          <w:r>
            <w:rPr>
              <w:rFonts w:ascii="Times New Roman" w:hAnsi="Times New Roman" w:eastAsia="宋体" w:cs="Times New Roman"/>
              <w:b/>
              <w:sz w:val="96"/>
              <w:szCs w:val="28"/>
            </w:rPr>
            <w:fldChar w:fldCharType="separate"/>
          </w:r>
          <w:r>
            <w:fldChar w:fldCharType="begin"/>
          </w:r>
          <w:r>
            <w:instrText xml:space="preserve"> HYPERLINK \l "_Toc228304402" </w:instrText>
          </w:r>
          <w:r>
            <w:fldChar w:fldCharType="separate"/>
          </w:r>
          <w:r>
            <w:rPr>
              <w:rStyle w:val="20"/>
              <w:rFonts w:ascii="Times New Roman" w:hAnsi="Times New Roman" w:cs="Times New Roman"/>
              <w:sz w:val="28"/>
            </w:rPr>
            <w:t>【思政建设】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_Toc228304402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"_Toc228304403"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学习时报：促进思政课堂与社会课堂有效融合</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_Toc228304403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"_Toc228304404"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中国青年报：思政课如何讲好</w:t>
          </w:r>
          <w:r>
            <w:rPr>
              <w:rStyle w:val="20"/>
              <w:rFonts w:hint="eastAsia" w:ascii="Times New Roman" w:hAnsi="Times New Roman" w:cs="Times New Roman" w:eastAsiaTheme="majorEastAsia"/>
              <w:sz w:val="28"/>
            </w:rPr>
            <w:t>“新质生产力”</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_Toc228304404 \h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"_Toc228304405" </w:instrText>
          </w:r>
          <w:r>
            <w:fldChar w:fldCharType="separate"/>
          </w:r>
          <w:r>
            <w:rPr>
              <w:rStyle w:val="20"/>
              <w:rFonts w:ascii="Times New Roman" w:hAnsi="Times New Roman" w:cs="Times New Roman"/>
              <w:sz w:val="28"/>
            </w:rPr>
            <w:t>【教育要闻】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_Toc228304405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"_Toc228304406"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四川省委教育工委召开会议，强调力争更多高校入选</w:t>
          </w:r>
          <w:r>
            <w:rPr>
              <w:rStyle w:val="20"/>
              <w:rFonts w:hint="eastAsia" w:ascii="Times New Roman" w:hAnsi="Times New Roman" w:cs="Times New Roman" w:eastAsiaTheme="majorEastAsia"/>
              <w:sz w:val="28"/>
            </w:rPr>
            <w:t>“双一流”“双优”“双高”</w:t>
          </w:r>
          <w:r>
            <w:rPr>
              <w:rStyle w:val="20"/>
              <w:rFonts w:ascii="Times New Roman" w:hAnsi="Times New Roman" w:cs="Times New Roman" w:eastAsiaTheme="majorEastAsia"/>
              <w:sz w:val="28"/>
            </w:rPr>
            <w:t>等国家工程计划</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_Toc228304406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"_Toc228304407" </w:instrText>
          </w:r>
          <w:r>
            <w:fldChar w:fldCharType="separate"/>
          </w:r>
          <w:bookmarkStart w:id="0" w:name="_Toc228222539"/>
          <w:r>
            <w:rPr>
              <w:rStyle w:val="20"/>
              <w:rFonts w:ascii="Times New Roman" w:hAnsi="Times New Roman" w:cs="Times New Roman" w:eastAsiaTheme="majorEastAsia"/>
              <w:sz w:val="28"/>
            </w:rPr>
            <w:sym w:font="Wingdings" w:char="F075"/>
          </w:r>
          <w:bookmarkEnd w:id="0"/>
          <w:r>
            <w:rPr>
              <w:rStyle w:val="20"/>
              <w:rFonts w:ascii="Times New Roman" w:hAnsi="Times New Roman" w:cs="Times New Roman" w:eastAsiaTheme="majorEastAsia"/>
              <w:sz w:val="28"/>
            </w:rPr>
            <w:t>地方应用型本科高校高素质人才培养联盟在沪成立</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_Toc228304407 \h </w:instrText>
          </w:r>
          <w:r>
            <w:rPr>
              <w:rFonts w:ascii="Times New Roman" w:hAnsi="Times New Roman" w:cs="Times New Roman"/>
              <w:sz w:val="28"/>
            </w:rPr>
            <w:fldChar w:fldCharType="separate"/>
          </w:r>
          <w:r>
            <w:rPr>
              <w:rFonts w:ascii="Times New Roman" w:hAnsi="Times New Roman" w:cs="Times New Roman"/>
              <w:sz w:val="28"/>
            </w:rPr>
            <w:t>8</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"_Toc228304408" </w:instrText>
          </w:r>
          <w:r>
            <w:fldChar w:fldCharType="separate"/>
          </w:r>
          <w:r>
            <w:rPr>
              <w:rStyle w:val="20"/>
              <w:rFonts w:ascii="Times New Roman" w:hAnsi="Times New Roman" w:cs="Times New Roman"/>
              <w:sz w:val="28"/>
            </w:rPr>
            <w:t>【政策法规】</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_Toc228304408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"_Toc228304409"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科技日报：工业和信息化部等十部门联合印发《人工智能科技伦理审查与服务办法（试行）》</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_Toc228304409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"_Toc228304410"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中国教育报：教育部等五部门联合印发《</w:t>
          </w:r>
          <w:r>
            <w:rPr>
              <w:rStyle w:val="20"/>
              <w:rFonts w:hint="eastAsia" w:ascii="Times New Roman" w:hAnsi="Times New Roman" w:cs="Times New Roman" w:eastAsiaTheme="majorEastAsia"/>
              <w:sz w:val="28"/>
            </w:rPr>
            <w:t>“人工智能+教育”</w:t>
          </w:r>
          <w:r>
            <w:rPr>
              <w:rStyle w:val="20"/>
              <w:rFonts w:ascii="Times New Roman" w:hAnsi="Times New Roman" w:cs="Times New Roman" w:eastAsiaTheme="majorEastAsia"/>
              <w:sz w:val="28"/>
            </w:rPr>
            <w:t>行动计划》</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_Toc228304410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"_Toc228304411" </w:instrText>
          </w:r>
          <w:r>
            <w:fldChar w:fldCharType="separate"/>
          </w:r>
          <w:r>
            <w:rPr>
              <w:rStyle w:val="20"/>
              <w:rFonts w:ascii="Times New Roman" w:hAnsi="Times New Roman" w:cs="Times New Roman"/>
              <w:sz w:val="28"/>
            </w:rPr>
            <w:t>【升大动态】</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_Toc228304411 \h </w:instrText>
          </w:r>
          <w:r>
            <w:rPr>
              <w:rFonts w:ascii="Times New Roman" w:hAnsi="Times New Roman" w:cs="Times New Roman"/>
              <w:sz w:val="28"/>
            </w:rPr>
            <w:fldChar w:fldCharType="separate"/>
          </w:r>
          <w:r>
            <w:rPr>
              <w:rFonts w:ascii="Times New Roman" w:hAnsi="Times New Roman" w:cs="Times New Roman"/>
              <w:sz w:val="28"/>
            </w:rPr>
            <w:t>13</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"_Toc228304412"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扬子晚报：南京支持南京晓庄学院、金陵科技学院更名大学</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_Toc228304412 \h </w:instrText>
          </w:r>
          <w:r>
            <w:rPr>
              <w:rFonts w:ascii="Times New Roman" w:hAnsi="Times New Roman" w:cs="Times New Roman"/>
              <w:sz w:val="28"/>
            </w:rPr>
            <w:fldChar w:fldCharType="separate"/>
          </w:r>
          <w:r>
            <w:rPr>
              <w:rFonts w:ascii="Times New Roman" w:hAnsi="Times New Roman" w:cs="Times New Roman"/>
              <w:sz w:val="28"/>
            </w:rPr>
            <w:t>13</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"_Toc228304413"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浙江日报：湖州师范学院更名湖州师范大学</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_Toc228304413 \h </w:instrText>
          </w:r>
          <w:r>
            <w:rPr>
              <w:rFonts w:ascii="Times New Roman" w:hAnsi="Times New Roman" w:cs="Times New Roman"/>
              <w:sz w:val="28"/>
            </w:rPr>
            <w:fldChar w:fldCharType="separate"/>
          </w:r>
          <w:r>
            <w:rPr>
              <w:rFonts w:ascii="Times New Roman" w:hAnsi="Times New Roman" w:cs="Times New Roman"/>
              <w:sz w:val="28"/>
            </w:rPr>
            <w:t>14</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"_Toc228304414" </w:instrText>
          </w:r>
          <w:r>
            <w:fldChar w:fldCharType="separate"/>
          </w:r>
          <w:r>
            <w:rPr>
              <w:rStyle w:val="20"/>
              <w:rFonts w:ascii="Times New Roman" w:hAnsi="Times New Roman" w:cs="Times New Roman"/>
              <w:sz w:val="28"/>
            </w:rPr>
            <w:t>【院校扫描】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_Toc228304414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"_Toc228304415"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南阳师范学院：四链融合 校企双聘 培养新工科人才</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_Toc228304415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"_Toc228304416"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江苏理工学院：为地方产业发展提供坚实人才支撑</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_Toc228304416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"_Toc228304417" </w:instrText>
          </w:r>
          <w:r>
            <w:fldChar w:fldCharType="separate"/>
          </w:r>
          <w:r>
            <w:rPr>
              <w:rStyle w:val="20"/>
              <w:rFonts w:ascii="Times New Roman" w:hAnsi="Times New Roman" w:cs="Times New Roman"/>
              <w:sz w:val="28"/>
            </w:rPr>
            <w:t>【转型探索】</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_Toc228304417 \h </w:instrText>
          </w:r>
          <w:r>
            <w:rPr>
              <w:rFonts w:ascii="Times New Roman" w:hAnsi="Times New Roman" w:cs="Times New Roman"/>
              <w:sz w:val="28"/>
            </w:rPr>
            <w:fldChar w:fldCharType="separate"/>
          </w:r>
          <w:r>
            <w:rPr>
              <w:rFonts w:ascii="Times New Roman" w:hAnsi="Times New Roman" w:cs="Times New Roman"/>
              <w:sz w:val="28"/>
            </w:rPr>
            <w:t>20</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pPr>
          <w:r>
            <w:fldChar w:fldCharType="begin"/>
          </w:r>
          <w:r>
            <w:instrText xml:space="preserve"> HYPERLINK \l "_Toc228304418"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中国教育报：应用型高校如何走好转型发展之路</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_Toc228304418 \h </w:instrText>
          </w:r>
          <w:r>
            <w:rPr>
              <w:rFonts w:ascii="Times New Roman" w:hAnsi="Times New Roman" w:cs="Times New Roman"/>
              <w:sz w:val="28"/>
            </w:rPr>
            <w:fldChar w:fldCharType="separate"/>
          </w:r>
          <w:r>
            <w:rPr>
              <w:rFonts w:ascii="Times New Roman" w:hAnsi="Times New Roman" w:cs="Times New Roman"/>
              <w:sz w:val="28"/>
            </w:rPr>
            <w:t>20</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snapToGrid w:val="0"/>
            <w:spacing w:line="500" w:lineRule="exac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96"/>
              <w:szCs w:val="28"/>
              <w:lang w:val="zh-CN"/>
            </w:rPr>
            <w:fldChar w:fldCharType="end"/>
          </w:r>
        </w:p>
      </w:sdtContent>
    </w:sdt>
    <w:p>
      <w:pPr>
        <w:pStyle w:val="40"/>
        <w:rPr>
          <w:rFonts w:ascii="Times New Roman" w:hAnsi="Times New Roman"/>
        </w:rPr>
      </w:pPr>
      <w:bookmarkStart w:id="1" w:name="OLE_LINK3"/>
      <w:bookmarkStart w:id="2" w:name="_Toc228304402"/>
      <w:r>
        <w:rPr>
          <w:rFonts w:hint="eastAsia" w:ascii="Times New Roman" w:hAnsi="Times New Roman"/>
        </w:rPr>
        <w:t>【思政建设】</w:t>
      </w:r>
      <w:bookmarkEnd w:id="1"/>
      <w:bookmarkEnd w:id="2"/>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3" w:name="_Toc22830440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学习时报：促进思政课堂与社会课堂有效融合</w:t>
      </w:r>
      <w:bookmarkEnd w:id="3"/>
    </w:p>
    <w:p>
      <w:pPr>
        <w:pStyle w:val="25"/>
        <w:rPr>
          <w:rFonts w:hint="eastAsia" w:ascii="Times New Roman" w:hAnsi="Times New Roman"/>
        </w:rPr>
      </w:pPr>
      <w:bookmarkStart w:id="4" w:name="OLE_LINK4"/>
      <w:r>
        <w:rPr>
          <w:rFonts w:hint="eastAsia" w:ascii="Times New Roman" w:hAnsi="Times New Roman"/>
        </w:rPr>
        <w:t>我国“十四五”规划圆满收官，“十五五”规划扬帆启航，国家发展进入新的历史阶段。“十五五”规划纲要不仅将“办好人民满意的教育”单列成章，更创新性地设立了“一体推进教育科技人才发展”专章，深刻揭示了教育是基础、科技是关键、人才是根本的核心发展逻辑。思政课作为落实立德树人根本任务的关键课程，其战略地位日益凸显，成为铸牢一体化发展价值底座的灵魂工程。推动“思政课堂”与“社会课堂”有效融合，不仅是落实“大思政课”理念的教学改革，更是服务国家创新驱动发展战略、为国家现代化建设培育急需的创新型建设者的关键行动。</w:t>
      </w:r>
    </w:p>
    <w:p>
      <w:pPr>
        <w:pStyle w:val="25"/>
        <w:rPr>
          <w:rFonts w:hint="eastAsia" w:ascii="Times New Roman" w:hAnsi="Times New Roman"/>
        </w:rPr>
      </w:pPr>
      <w:r>
        <w:rPr>
          <w:rFonts w:hint="eastAsia" w:ascii="Times New Roman" w:hAnsi="Times New Roman"/>
        </w:rPr>
        <w:t>党的二十届四中全会首次把“思政课堂”和“社会课堂”写进《中共中央关于制定国民经济和社会发展第十五个五年规划的建议》中，提出要“实施新时代立德树人工程，促进思政课堂和社会课堂有效融合，加强体育、美育、劳动教育，完善教育评价体系”。这标志着育人理念从“相结合”向“有效融合”的深化跃升，是落实立德树人根本任务的战略举措，更是遵循教育规律、破解育人难题的迫切需要。</w:t>
      </w:r>
    </w:p>
    <w:p>
      <w:pPr>
        <w:pStyle w:val="25"/>
        <w:rPr>
          <w:rFonts w:hint="eastAsia" w:ascii="Times New Roman" w:hAnsi="Times New Roman"/>
        </w:rPr>
      </w:pPr>
      <w:r>
        <w:rPr>
          <w:rFonts w:hint="eastAsia" w:ascii="Times New Roman" w:hAnsi="Times New Roman"/>
        </w:rPr>
        <w:t>“十五五”规划纲要明确提出，要“深化教育科技人才一体改革，强化规划衔接、政策协同、资源统筹、评价联动，促进科技自主创新和人才自主培养良性互动”。这要求我们必须跳出教育看教育，站在国家创新体系和民族复兴的高度来审视我们的思政课建设。</w:t>
      </w:r>
    </w:p>
    <w:p>
      <w:pPr>
        <w:pStyle w:val="25"/>
        <w:rPr>
          <w:rFonts w:hint="eastAsia" w:ascii="Times New Roman" w:hAnsi="Times New Roman"/>
        </w:rPr>
      </w:pPr>
      <w:r>
        <w:rPr>
          <w:rFonts w:hint="eastAsia" w:ascii="Times New Roman" w:hAnsi="Times New Roman"/>
        </w:rPr>
        <w:t>其一，思政课的“有效融合”，是培养“心怀‘国之大者’”创新型人才的首要前提。“十五五”规划纲要强调要“协同推进创新型人才培养”，“加强青少年科学素养、批判性思维和创新能力培养”。而创新的根基是方向，是情怀，是价值引领。推动“思政课堂”与“社会课堂”有效融合，正是要让学生在理论学习中坚定科技报国的理想信念，在社会实践中感受国家发展的迫切需求，从而将个人的创新梦想融入强国建设的伟大事业。这关乎我们培养的人才是“为谁创新”的根本问题。</w:t>
      </w:r>
    </w:p>
    <w:p>
      <w:pPr>
        <w:pStyle w:val="25"/>
        <w:rPr>
          <w:rFonts w:hint="eastAsia" w:ascii="Times New Roman" w:hAnsi="Times New Roman"/>
        </w:rPr>
      </w:pPr>
      <w:r>
        <w:rPr>
          <w:rFonts w:hint="eastAsia" w:ascii="Times New Roman" w:hAnsi="Times New Roman"/>
        </w:rPr>
        <w:t>其二，思政课的“提质增效”，是优化人才自主培养生态的核心环节。“十五五”规划纲要提出要“健全高等教育学科专业设置调整机制，超常规布局人工智能、集成电路等新兴领域急需学科专业”。面对这些“卡脖子”领域，我们不仅要传授知识，更要通过思政课，讲清楚蕴含其中的国家战略意志、民族复兴期盼，激发学生树立“板凳要坐十年冷”的执着和“敢闯无人区”的勇气。思政课与专业课的融合，就是要将科学家精神、工匠精神、奉献精神融入专业教育，塑造学生健全的人格与创新的品格。这正是“提高人才自主培养质量”的题中之义。</w:t>
      </w:r>
    </w:p>
    <w:p>
      <w:pPr>
        <w:pStyle w:val="25"/>
        <w:rPr>
          <w:rFonts w:hint="eastAsia" w:ascii="Times New Roman" w:hAnsi="Times New Roman"/>
        </w:rPr>
      </w:pPr>
      <w:r>
        <w:rPr>
          <w:rFonts w:hint="eastAsia" w:ascii="Times New Roman" w:hAnsi="Times New Roman"/>
        </w:rPr>
        <w:t>其三，思政课的改革创新，是服务地方科技与产业发展的必然要求。“十五五”规划纲要要求“强化科研机构、创新平台、企业、科技计划人才集聚培养功能”。我们的“社会课堂”，必须主动对接重大科技项目、重点产业园区和创新平台。让学生在实践中了解科技前沿、产业需求，引导他们将职业规划与国家区域发展紧密结合。这正是“促进科技自主创新和人才自主培养良性互动”在最基层、最前端的生动体现。</w:t>
      </w:r>
    </w:p>
    <w:p>
      <w:pPr>
        <w:pStyle w:val="25"/>
        <w:rPr>
          <w:rFonts w:hint="eastAsia" w:ascii="Times New Roman" w:hAnsi="Times New Roman"/>
        </w:rPr>
      </w:pPr>
      <w:r>
        <w:rPr>
          <w:rFonts w:hint="eastAsia" w:ascii="Times New Roman" w:hAnsi="Times New Roman"/>
        </w:rPr>
        <w:t>我们必须将思政课建设深度嵌入“教育科技人才一体发展”的整体工作布局，实现战略目标有机衔接、资源要素统筹配置。</w:t>
      </w:r>
    </w:p>
    <w:p>
      <w:pPr>
        <w:pStyle w:val="25"/>
        <w:rPr>
          <w:rFonts w:hint="eastAsia" w:ascii="Times New Roman" w:hAnsi="Times New Roman"/>
        </w:rPr>
      </w:pPr>
      <w:r>
        <w:rPr>
          <w:rFonts w:hint="eastAsia" w:ascii="Times New Roman" w:hAnsi="Times New Roman"/>
        </w:rPr>
        <w:t>其一，在“思政课堂”主渠道中，深植科学精神与家国情怀。高质量的“思政课堂”不仅要讲清政治理论，也要融入科学史、科技伦理、创新文化。要在讲授习近平新时代中国特色社会主义思想时，突出其关于科技自立自强、人才引领驱动的重要论述。要开设专题，讲述“两弹一星”精神、载人航天精神、科学家精神中的中国故事，剖析从“悟空”探测卫星到“奋斗者”号载人深潜器背后的国家意志与民族智慧。要将“十五五”规划纲要中“加强科技法治、伦理、诚信、安全建设”内容纳入教学，引导学生树立正确的科技观、创新观。</w:t>
      </w:r>
    </w:p>
    <w:p>
      <w:pPr>
        <w:pStyle w:val="25"/>
        <w:rPr>
          <w:rFonts w:hint="eastAsia" w:ascii="Times New Roman" w:hAnsi="Times New Roman"/>
        </w:rPr>
      </w:pPr>
      <w:r>
        <w:rPr>
          <w:rFonts w:hint="eastAsia" w:ascii="Times New Roman" w:hAnsi="Times New Roman"/>
        </w:rPr>
        <w:t>其二，在“社会课堂”新空间中，链接创新实践与国家战略。“十五五”规划纲要要求“围绕科技创新、产业发展和国家战略需求协同育人”。社会实践课程设计，必须紧扣这一导向。打造“科创思政”实践路线，将课堂延伸到国家重点实验室、高新技术企业、重大工程一线，让学生亲睹“国之重器”，亲身感受“卡脖子”之痛，从而将“攻克关键核心技术”的种子埋入心中。要围绕真实问题，开展项目式、课题式调研，让学生在解决实际问题的过程中理解个人发展与国家需要的辩证关系，实现思政价值引领与创新能力培养的同频共振。</w:t>
      </w:r>
    </w:p>
    <w:p>
      <w:pPr>
        <w:pStyle w:val="25"/>
        <w:rPr>
          <w:rFonts w:hint="eastAsia" w:ascii="Times New Roman" w:hAnsi="Times New Roman"/>
        </w:rPr>
      </w:pPr>
      <w:r>
        <w:rPr>
          <w:rFonts w:hint="eastAsia" w:ascii="Times New Roman" w:hAnsi="Times New Roman"/>
        </w:rPr>
        <w:t>其三，在“评价联动”指挥棒下，激励融合育人导向。“十五五”规划纲要提出“以创新能力、质量、实效、贡献为评价导向”，这一导向同样适用于衡量“两个课堂”融合的成效。评价学生，不仅要看理论学习成绩，更要将其在社会课堂中表现出的科学素养、实践能力、解决复杂问题的贡献，特别是体现出的爱国情怀、社会责任感和创新潜质，纳入综合素质评价体系。评价教师，也要将教师指导学生开展结合科技前沿、产业需求的社会实践、科创项目的成果，作为其教学评价、职称评定、绩效激励的重要依据，并鼓励跨学科、跨学院的思政课教学团队建设。</w:t>
      </w:r>
    </w:p>
    <w:p>
      <w:pPr>
        <w:pStyle w:val="25"/>
        <w:rPr>
          <w:rFonts w:ascii="Times New Roman" w:hAnsi="Times New Roman"/>
        </w:rPr>
      </w:pPr>
      <w:r>
        <w:rPr>
          <w:rFonts w:hint="eastAsia" w:ascii="Times New Roman" w:hAnsi="Times New Roman"/>
        </w:rPr>
        <w:t>“两个课堂”有效融合是一项系统工程，需要各方凝聚合力、久久为功；需要不断加强组织领导，健全育人资源整合机制；需要持续加强教师队伍建设，不断提升育人能力水平。要积极探索“教联体”建设模式，推动社会资源与学校思政教育有效衔接。要健全校地企共建共享机制，推动高校与地方政府、企业、社区签订“思政实践共建协议”，构建“思政课教师+专业课教师+行业专家+先进模范”的师资格局，打造复合型团队，形成育人合力。同时，要围绕师德师风建设打出改革“组合拳”，激励教师潜心教书育人。通过“两个课堂”的深度融合，真正为学生的成长装上“指南针”、注入“推进剂”，为培养更多可堪大用、能担重任的栋梁之材，为助力国家教育科技人才高水平一体发展贡献思政课不可替代的力量。</w:t>
      </w:r>
    </w:p>
    <w:p>
      <w:pPr>
        <w:pStyle w:val="25"/>
        <w:rPr>
          <w:rFonts w:ascii="Times New Roman" w:hAnsi="Times New Roman" w:cs="宋体"/>
        </w:rPr>
      </w:pPr>
      <w:r>
        <w:rPr>
          <w:rFonts w:hint="eastAsia" w:ascii="Times New Roman" w:hAnsi="Times New Roman" w:cs="宋体"/>
        </w:rPr>
        <w:t>（摘编自《学习时报》202</w:t>
      </w:r>
      <w:r>
        <w:rPr>
          <w:rFonts w:ascii="Times New Roman" w:hAnsi="Times New Roman" w:cs="宋体"/>
        </w:rPr>
        <w:t>6</w:t>
      </w:r>
      <w:r>
        <w:rPr>
          <w:rFonts w:hint="eastAsia" w:ascii="Times New Roman" w:hAnsi="Times New Roman" w:cs="宋体"/>
        </w:rPr>
        <w:t>年</w:t>
      </w:r>
      <w:r>
        <w:rPr>
          <w:rFonts w:ascii="Times New Roman" w:hAnsi="Times New Roman" w:cs="宋体"/>
        </w:rPr>
        <w:t>04</w:t>
      </w:r>
      <w:r>
        <w:rPr>
          <w:rFonts w:hint="eastAsia" w:ascii="Times New Roman" w:hAnsi="Times New Roman" w:cs="宋体"/>
        </w:rPr>
        <w:t>月</w:t>
      </w:r>
      <w:r>
        <w:rPr>
          <w:rFonts w:ascii="Times New Roman" w:hAnsi="Times New Roman" w:cs="宋体"/>
        </w:rPr>
        <w:t>24</w:t>
      </w:r>
      <w:r>
        <w:rPr>
          <w:rFonts w:hint="eastAsia" w:ascii="Times New Roman" w:hAnsi="Times New Roman" w:cs="宋体"/>
        </w:rPr>
        <w:t>日第</w:t>
      </w:r>
      <w:r>
        <w:rPr>
          <w:rFonts w:ascii="Times New Roman" w:hAnsi="Times New Roman" w:cs="宋体"/>
        </w:rPr>
        <w:t>06</w:t>
      </w:r>
      <w:r>
        <w:rPr>
          <w:rFonts w:hint="eastAsia" w:ascii="Times New Roman" w:hAnsi="Times New Roman" w:cs="宋体"/>
        </w:rPr>
        <w:t>版）</w:t>
      </w:r>
      <w:bookmarkEnd w:id="4"/>
    </w:p>
    <w:p>
      <w:pPr>
        <w:pStyle w:val="25"/>
        <w:rPr>
          <w:rFonts w:hint="eastAsia" w:ascii="Times New Roman" w:hAnsi="Times New Roman" w:cs="宋体"/>
        </w:rPr>
      </w:pPr>
    </w:p>
    <w:p>
      <w:pPr>
        <w:pStyle w:val="24"/>
        <w:ind w:firstLine="643"/>
        <w:jc w:val="both"/>
        <w:rPr>
          <w:rFonts w:hint="default" w:ascii="Times New Roman" w:hAnsi="Times New Roman" w:eastAsiaTheme="majorEastAsia" w:cstheme="majorEastAsia"/>
          <w:color w:val="auto"/>
        </w:rPr>
      </w:pPr>
      <w:bookmarkStart w:id="5" w:name="_Toc22830440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中国青年报：思政课如何讲好“新质生产力”</w:t>
      </w:r>
      <w:bookmarkEnd w:id="5"/>
    </w:p>
    <w:p>
      <w:pPr>
        <w:pStyle w:val="25"/>
        <w:rPr>
          <w:rFonts w:ascii="Times New Roman" w:hAnsi="Times New Roman"/>
        </w:rPr>
      </w:pPr>
      <w:r>
        <w:rPr>
          <w:rFonts w:hint="eastAsia" w:ascii="Times New Roman" w:hAnsi="Times New Roman"/>
        </w:rPr>
        <w:t>当智能生产重塑产业形态、数字革新赋能高质量发展，新质生产力催生的时代图景，为思政课提供了鲜活的思想素材与价值源泉。“十五五”规划纲要提出，要加快高水平科技自立自强，引领发展新质生产力。这既是推动经济高质量发展的核心引擎，也是思政课回应时代之问、培育时代新人的宝贵养分。思政课还需从新质生产力的变革成就中汲取理论底气，在伦理价值中凝聚思想共识，以技术赋能创新教学形态，让理论教学真正接上时代地气、走进青年心里。</w:t>
      </w:r>
    </w:p>
    <w:p>
      <w:pPr>
        <w:pStyle w:val="25"/>
        <w:ind w:firstLine="562"/>
        <w:rPr>
          <w:rFonts w:ascii="Times New Roman" w:hAnsi="Times New Roman"/>
          <w:b/>
        </w:rPr>
      </w:pPr>
      <w:r>
        <w:rPr>
          <w:rFonts w:hint="eastAsia" w:ascii="Times New Roman" w:hAnsi="Times New Roman"/>
          <w:b/>
        </w:rPr>
        <w:t>讲深变革成就：在发展逻辑中彰显制度优势</w:t>
      </w:r>
    </w:p>
    <w:p>
      <w:pPr>
        <w:pStyle w:val="25"/>
        <w:rPr>
          <w:rFonts w:ascii="Times New Roman" w:hAnsi="Times New Roman"/>
        </w:rPr>
      </w:pPr>
      <w:r>
        <w:rPr>
          <w:rFonts w:hint="eastAsia" w:ascii="Times New Roman" w:hAnsi="Times New Roman"/>
        </w:rPr>
        <w:t>新质生产力的变革成就，绝非孤立的技术突破或零散的产业升级，而是贯穿经济社会发展全局的系统性变革，这正是思政课阐释制度优势、传递理论力量的核心载体。讲深变革成就，关键在于跳出具象化表述局限，构建现象、本质与制度的逻辑链条。从本质而言，新质生产力是生产方式的根本性革新，是从要素驱动向创新驱动的转型，这种转型并非自发形成，而是源于制度层面的系统性支撑。</w:t>
      </w:r>
    </w:p>
    <w:p>
      <w:pPr>
        <w:pStyle w:val="25"/>
        <w:rPr>
          <w:rFonts w:ascii="Times New Roman" w:hAnsi="Times New Roman"/>
        </w:rPr>
      </w:pPr>
      <w:r>
        <w:rPr>
          <w:rFonts w:hint="eastAsia" w:ascii="Times New Roman" w:hAnsi="Times New Roman"/>
        </w:rPr>
        <w:t>社会主义市场经济体制下，有效市场与有为政府有机结合，既赋予创新主体充分的探索空间，又通过战略规划、资源统筹、政策引导，集中力量攻克核心技术、培育新兴产业，规避了资本逐利性引发的盲目扩张与资源浪费。这种制度优势，最终将“创新是第一动力”理念转化为实实在在的发展成果。</w:t>
      </w:r>
    </w:p>
    <w:p>
      <w:pPr>
        <w:pStyle w:val="25"/>
        <w:rPr>
          <w:rFonts w:ascii="Times New Roman" w:hAnsi="Times New Roman"/>
        </w:rPr>
      </w:pPr>
      <w:r>
        <w:rPr>
          <w:rFonts w:hint="eastAsia" w:ascii="Times New Roman" w:hAnsi="Times New Roman"/>
        </w:rPr>
        <w:t>思政课的核心使命，就是引导青年学生透过发展现象，把握背后的制度逻辑：新质生产力带来的不仅是生产效率提升，更是发展理念革新；不仅是技术层面的进步，更是制度优势的生动彰显。通过阐释创新与制度的辩证关系，让青年学生理解中国特色社会主义制度如何为新质生产力发展筑牢土壤，如何在全球化竞争中保障发展的自主性与可持续性，进而在理论思辨中坚定“四个自信”，实现个人成长与国家发展的逻辑同频。</w:t>
      </w:r>
    </w:p>
    <w:p>
      <w:pPr>
        <w:pStyle w:val="25"/>
        <w:ind w:firstLine="562"/>
        <w:rPr>
          <w:rFonts w:ascii="Times New Roman" w:hAnsi="Times New Roman"/>
          <w:b/>
        </w:rPr>
      </w:pPr>
      <w:r>
        <w:rPr>
          <w:rFonts w:hint="eastAsia" w:ascii="Times New Roman" w:hAnsi="Times New Roman"/>
          <w:b/>
        </w:rPr>
        <w:t>讲透伦理价值：在价值思辨中锚定发展方向</w:t>
      </w:r>
    </w:p>
    <w:p>
      <w:pPr>
        <w:pStyle w:val="25"/>
        <w:rPr>
          <w:rFonts w:ascii="Times New Roman" w:hAnsi="Times New Roman"/>
        </w:rPr>
      </w:pPr>
      <w:r>
        <w:rPr>
          <w:rFonts w:hint="eastAsia" w:ascii="Times New Roman" w:hAnsi="Times New Roman"/>
        </w:rPr>
        <w:t>新质生产力不仅是技术与产业的革新，更蕴含深刻的伦理内核与价值追求，其发展方向始终与社会主义核心价值观高度契合，为思政课开展价值引领提供了核心思想资源。人民性是发展新质生产力的价值遵循，科技向善、发展为民等新质生产力的价值取向，正是思政课需要向青年讲透的核心道理。</w:t>
      </w:r>
    </w:p>
    <w:p>
      <w:pPr>
        <w:pStyle w:val="25"/>
        <w:rPr>
          <w:rFonts w:ascii="Times New Roman" w:hAnsi="Times New Roman"/>
        </w:rPr>
      </w:pPr>
      <w:r>
        <w:rPr>
          <w:rFonts w:hint="eastAsia" w:ascii="Times New Roman" w:hAnsi="Times New Roman"/>
        </w:rPr>
        <w:t>其一，“以人为本”是本质属性。生产力发展的最终目的是实现人的自由全面发展，新质生产力的革新始终围绕满足人民美好生活需要展开，核心逻辑是让科技服务于人、发展惠及人民。思政课要引导青年认识到，“科技向善”是新质生产力的内在要求，创新必须</w:t>
      </w:r>
      <w:r>
        <w:rPr>
          <w:rFonts w:hint="eastAsia" w:ascii="Times New Roman" w:hAnsi="Times New Roman"/>
          <w:lang w:eastAsia="zh-CN"/>
        </w:rPr>
        <w:t>坚持以人民为中心的发展</w:t>
      </w:r>
      <w:r>
        <w:rPr>
          <w:rFonts w:hint="eastAsia" w:ascii="Times New Roman" w:hAnsi="Times New Roman"/>
        </w:rPr>
        <w:t>思想，规避技术异化带来的人文缺失。</w:t>
      </w:r>
    </w:p>
    <w:p>
      <w:pPr>
        <w:pStyle w:val="25"/>
        <w:rPr>
          <w:rFonts w:ascii="Times New Roman" w:hAnsi="Times New Roman"/>
        </w:rPr>
      </w:pPr>
      <w:r>
        <w:rPr>
          <w:rFonts w:hint="eastAsia" w:ascii="Times New Roman" w:hAnsi="Times New Roman"/>
        </w:rPr>
        <w:t>其二，“绿色低碳”是鲜明特征。高质量发展与绿色发展内在统一，新质生产力的核心优势在于打破“发展与保护对立”的认知，实现经济、社会、生态效益协同。思政课要讲清：新质生产力绝非以生态为代价的粗放增长，而是通过技术与模式创新构建低耗、低排、高效的发展体系。</w:t>
      </w:r>
    </w:p>
    <w:p>
      <w:pPr>
        <w:pStyle w:val="25"/>
        <w:rPr>
          <w:rFonts w:ascii="Times New Roman" w:hAnsi="Times New Roman"/>
        </w:rPr>
      </w:pPr>
      <w:r>
        <w:rPr>
          <w:rFonts w:hint="eastAsia" w:ascii="Times New Roman" w:hAnsi="Times New Roman"/>
        </w:rPr>
        <w:t>其三，“公平正义”是鲜明底色。与强者愈强的马太效应不同，新质生产力的发展是社会主义制度保障下的普惠性发展，通过制度设计推动技术成果共享、发展机会均等，让不同地区、各个群体都能参与发展、共享成果。</w:t>
      </w:r>
    </w:p>
    <w:p>
      <w:pPr>
        <w:pStyle w:val="25"/>
        <w:ind w:firstLine="562"/>
        <w:rPr>
          <w:rFonts w:ascii="Times New Roman" w:hAnsi="Times New Roman"/>
          <w:b/>
        </w:rPr>
      </w:pPr>
      <w:r>
        <w:rPr>
          <w:rFonts w:hint="eastAsia" w:ascii="Times New Roman" w:hAnsi="Times New Roman"/>
          <w:b/>
        </w:rPr>
        <w:t>讲活思政课堂：在技术赋能中创新教学形态</w:t>
      </w:r>
    </w:p>
    <w:p>
      <w:pPr>
        <w:pStyle w:val="25"/>
        <w:rPr>
          <w:rFonts w:ascii="Times New Roman" w:hAnsi="Times New Roman"/>
        </w:rPr>
      </w:pPr>
      <w:r>
        <w:rPr>
          <w:rFonts w:hint="eastAsia" w:ascii="Times New Roman" w:hAnsi="Times New Roman"/>
        </w:rPr>
        <w:t>新质生产力带来的技术革新，既为思政课提供丰富教学内容，更为教学改革提供强大支撑，让讲活思政课从理念走向现实。引入新技术，能打破传统教学模式，构建更具思想性、感染力、互动性的教学新形态。</w:t>
      </w:r>
    </w:p>
    <w:p>
      <w:pPr>
        <w:pStyle w:val="25"/>
        <w:rPr>
          <w:rFonts w:ascii="Times New Roman" w:hAnsi="Times New Roman"/>
        </w:rPr>
      </w:pPr>
      <w:r>
        <w:rPr>
          <w:rFonts w:hint="eastAsia" w:ascii="Times New Roman" w:hAnsi="Times New Roman"/>
        </w:rPr>
        <w:t>在虚拟场景层面，数字化技术能突破时空限制，将新质生产力的发展进程、核心逻辑转化为可感知的资源，让学生直观理解创新逻辑与技术变革的影响，突破书本局限，以沉浸式体验激发学习兴趣，让抽象理论可感可知。在互动场景层面，大数据与人工智能技术能精准把握青年的思想特点与认知规律，实现教学内容个性化推送与方式精准适配。可以搭建在线思辨平台，围绕“新质生产力与青年责任”等议题组织深度讨论，让学生在思想碰撞中深化认知、凝聚共识，培养批判性与创新思维，推动思政课从单向灌输转为双向互动。在实践场景层面，技术赋能让思政课与社会发展更紧密衔接，可以依托数字化平台打破校园边界，整合社会资源，通过线上调研、远程交流让学生感知时代脉搏；创新实践教学路径，组织线上线下结合的社会实践与志愿服务，让学生在实践中践行理论、深化认知，实现“知行合一”。</w:t>
      </w:r>
    </w:p>
    <w:p>
      <w:pPr>
        <w:pStyle w:val="25"/>
        <w:rPr>
          <w:rFonts w:ascii="Times New Roman" w:hAnsi="Times New Roman"/>
        </w:rPr>
      </w:pPr>
      <w:r>
        <w:rPr>
          <w:rFonts w:hint="eastAsia" w:ascii="Times New Roman" w:hAnsi="Times New Roman"/>
        </w:rPr>
        <w:t>技术赋能必须守住思政本色，规避“技术崇拜”误区。思政课是落实立德树人根本任务的关键课程，技术是提升思</w:t>
      </w:r>
      <w:r>
        <w:rPr>
          <w:rFonts w:hint="eastAsia" w:ascii="Times New Roman" w:hAnsi="Times New Roman"/>
          <w:lang w:eastAsia="zh-CN"/>
        </w:rPr>
        <w:t>政课</w:t>
      </w:r>
      <w:r>
        <w:rPr>
          <w:rFonts w:hint="eastAsia" w:ascii="Times New Roman" w:hAnsi="Times New Roman"/>
        </w:rPr>
        <w:t>教学感染力的手段。无论是虚拟场景、互动平台还是实践创新，最终都要服务于理想信念教育与价值塑造。对思政课的技术赋能，旨在培养既懂技术、又有信念，既敢创新、又守底线的新时代青年。思政课要牢牢把握“讲深、讲透、讲活”要求，从新质生产力中汲取理论底气、凝聚思想共识、创新教学形态，让青年在理论思辨中读懂时代、在价值引领中坚定信念，自觉将个人理想融入国家大局。</w:t>
      </w:r>
    </w:p>
    <w:p>
      <w:pPr>
        <w:pStyle w:val="25"/>
        <w:wordWrap w:val="0"/>
        <w:rPr>
          <w:rFonts w:ascii="Times New Roman" w:hAnsi="Times New Roman"/>
        </w:rPr>
      </w:pPr>
      <w:r>
        <w:rPr>
          <w:rFonts w:hint="eastAsia" w:ascii="Times New Roman" w:hAnsi="Times New Roman"/>
        </w:rPr>
        <w:t>（摘编自《中国青年报》202</w:t>
      </w:r>
      <w:r>
        <w:rPr>
          <w:rFonts w:ascii="Times New Roman" w:hAnsi="Times New Roman"/>
        </w:rPr>
        <w:t>6</w:t>
      </w:r>
      <w:r>
        <w:rPr>
          <w:rFonts w:hint="eastAsia" w:ascii="Times New Roman" w:hAnsi="Times New Roman"/>
        </w:rPr>
        <w:t>年</w:t>
      </w:r>
      <w:r>
        <w:rPr>
          <w:rFonts w:ascii="Times New Roman" w:hAnsi="Times New Roman"/>
        </w:rPr>
        <w:t>04</w:t>
      </w:r>
      <w:r>
        <w:rPr>
          <w:rFonts w:hint="eastAsia" w:ascii="Times New Roman" w:hAnsi="Times New Roman"/>
        </w:rPr>
        <w:t>月</w:t>
      </w:r>
      <w:r>
        <w:rPr>
          <w:rFonts w:ascii="Times New Roman" w:hAnsi="Times New Roman"/>
        </w:rPr>
        <w:t>13</w:t>
      </w:r>
      <w:r>
        <w:rPr>
          <w:rFonts w:hint="eastAsia" w:ascii="Times New Roman" w:hAnsi="Times New Roman"/>
        </w:rPr>
        <w:t>日第0</w:t>
      </w:r>
      <w:r>
        <w:rPr>
          <w:rFonts w:ascii="Times New Roman" w:hAnsi="Times New Roman"/>
        </w:rPr>
        <w:t>7</w:t>
      </w:r>
      <w:r>
        <w:rPr>
          <w:rFonts w:hint="eastAsia" w:ascii="Times New Roman" w:hAnsi="Times New Roman"/>
        </w:rPr>
        <w:t>版）</w:t>
      </w:r>
    </w:p>
    <w:p>
      <w:pPr>
        <w:rPr>
          <w:rFonts w:ascii="Times New Roman" w:hAnsi="Times New Roman"/>
        </w:rPr>
      </w:pPr>
      <w:r>
        <w:rPr>
          <w:rFonts w:hint="eastAsia" w:ascii="Times New Roman" w:hAnsi="Times New Roman"/>
        </w:rPr>
        <w:br w:type="page"/>
      </w:r>
    </w:p>
    <w:p>
      <w:pPr>
        <w:pStyle w:val="40"/>
        <w:rPr>
          <w:rFonts w:ascii="Times New Roman" w:hAnsi="Times New Roman"/>
        </w:rPr>
      </w:pPr>
      <w:bookmarkStart w:id="6" w:name="_Toc228304405"/>
      <w:bookmarkStart w:id="7" w:name="_Toc950"/>
      <w:bookmarkStart w:id="8" w:name="_Toc112870527"/>
      <w:bookmarkStart w:id="9" w:name="_Toc10614"/>
      <w:bookmarkStart w:id="10" w:name="_Hlk96953613"/>
      <w:r>
        <w:rPr>
          <w:rFonts w:hint="eastAsia" w:ascii="Times New Roman" w:hAnsi="Times New Roman"/>
        </w:rPr>
        <w:t>【教育要闻】</w:t>
      </w:r>
      <w:bookmarkEnd w:id="6"/>
    </w:p>
    <w:p>
      <w:pPr>
        <w:pStyle w:val="25"/>
        <w:widowControl/>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1" w:name="OLE_LINK2"/>
      <w:bookmarkStart w:id="12" w:name="_Toc228304406"/>
      <w:r>
        <w:rPr>
          <w:rFonts w:ascii="Times New Roman" w:hAnsi="Times New Roman" w:eastAsiaTheme="majorEastAsia" w:cstheme="majorEastAsia"/>
          <w:color w:val="auto"/>
        </w:rPr>
        <w:sym w:font="Wingdings" w:char="F075"/>
      </w:r>
      <w:bookmarkEnd w:id="11"/>
      <w:r>
        <w:rPr>
          <w:rFonts w:ascii="Times New Roman" w:hAnsi="Times New Roman" w:eastAsiaTheme="majorEastAsia" w:cstheme="majorEastAsia"/>
          <w:color w:val="auto"/>
        </w:rPr>
        <w:t>四川省委教育工委召开会议，强调力争更多高校入选“双一流”“双优”“双高”等国家工程计划</w:t>
      </w:r>
      <w:bookmarkEnd w:id="12"/>
    </w:p>
    <w:p>
      <w:pPr>
        <w:pStyle w:val="25"/>
        <w:rPr>
          <w:rFonts w:ascii="Times New Roman" w:hAnsi="Times New Roman"/>
        </w:rPr>
      </w:pPr>
      <w:r>
        <w:rPr>
          <w:rFonts w:hint="eastAsia" w:ascii="Times New Roman" w:hAnsi="Times New Roman"/>
        </w:rPr>
        <w:t>4月13日，四川省委教育工委召开会议，学习贯彻习近平总书记给四所交通大学全体师生的重要回信精神，落实省委常委会部署，研究具体工作举措。省委常委、宣传部部长，省委教育工委书记郑莉主持会议并讲话。</w:t>
      </w:r>
    </w:p>
    <w:p>
      <w:pPr>
        <w:pStyle w:val="25"/>
        <w:rPr>
          <w:rFonts w:ascii="Times New Roman" w:hAnsi="Times New Roman"/>
        </w:rPr>
      </w:pPr>
      <w:r>
        <w:rPr>
          <w:rFonts w:hint="eastAsia" w:ascii="Times New Roman" w:hAnsi="Times New Roman"/>
        </w:rPr>
        <w:t>会议指出，习近平总书记的重要回信，为四所高校奋进新征程指明了方向，也为我们推动新时代高等教育高质量发展提供了重要遵循。全省教育系统要把深入学习宣传贯彻总书记重要回信精神作为一项重要任务，与学习贯彻总书记关于教育的重要论述紧密结合起来，深刻领会精神要义、全力以赴狠抓落实。</w:t>
      </w:r>
    </w:p>
    <w:p>
      <w:pPr>
        <w:pStyle w:val="25"/>
        <w:rPr>
          <w:rFonts w:ascii="Times New Roman" w:hAnsi="Times New Roman"/>
        </w:rPr>
      </w:pPr>
      <w:r>
        <w:rPr>
          <w:rFonts w:hint="eastAsia" w:ascii="Times New Roman" w:hAnsi="Times New Roman"/>
        </w:rPr>
        <w:t>会议强调，要聚焦传承弘扬“胸怀大局、无私奉献、弘扬传统、艰苦创业”的西迁精神、加强科技自主创新和人才自主培养、促进产学研深度融合等，谋划提出系列务实举措，确保总书记回信精神落实到教育强省建设的实际成效上。要加快推进教育科技人才一体发展，紧扣国家战略与区域发展需求，大力实施高等教育学科专业设置调整优化实施方案、新质生产力发展重点领域急需人才培养引导发展清单，力争更多高校入选“双一流”“双优”“双高”等国家工程计划，推动高校联合大院、大所、大企协同育人，在促进产学研深度融合上实现更多突破。要联合各级各类媒体持续推出一批主题报道、深度报道、延伸报道，突出讲好西南交大、电子科大、四川轻化工大学等高校的西迁校史故事，有机融入学校思政课、论坛讲座、青年教师培养培训等，生动反映全省教育战线求实学、务实业的昂扬风貌。</w:t>
      </w:r>
    </w:p>
    <w:p>
      <w:pPr>
        <w:pStyle w:val="25"/>
        <w:rPr>
          <w:rFonts w:ascii="Times New Roman" w:hAnsi="Times New Roman"/>
        </w:rPr>
      </w:pPr>
      <w:r>
        <w:rPr>
          <w:rFonts w:ascii="Times New Roman" w:hAnsi="Times New Roman"/>
        </w:rPr>
        <w:t>（</w:t>
      </w:r>
      <w:bookmarkStart w:id="13" w:name="OLE_LINK5"/>
      <w:r>
        <w:rPr>
          <w:rFonts w:hint="eastAsia" w:ascii="Times New Roman" w:hAnsi="Times New Roman" w:cs="宋体"/>
        </w:rPr>
        <w:t>摘编自光明网·科技频道202</w:t>
      </w:r>
      <w:r>
        <w:rPr>
          <w:rFonts w:ascii="Times New Roman" w:hAnsi="Times New Roman" w:cs="宋体"/>
        </w:rPr>
        <w:t>6</w:t>
      </w:r>
      <w:r>
        <w:rPr>
          <w:rFonts w:hint="eastAsia" w:ascii="Times New Roman" w:hAnsi="Times New Roman" w:cs="宋体"/>
        </w:rPr>
        <w:t>年</w:t>
      </w:r>
      <w:r>
        <w:rPr>
          <w:rFonts w:ascii="Times New Roman" w:hAnsi="Times New Roman" w:cs="宋体"/>
        </w:rPr>
        <w:t>04</w:t>
      </w:r>
      <w:r>
        <w:rPr>
          <w:rFonts w:hint="eastAsia" w:ascii="Times New Roman" w:hAnsi="Times New Roman" w:cs="宋体"/>
        </w:rPr>
        <w:t>月</w:t>
      </w:r>
      <w:r>
        <w:rPr>
          <w:rFonts w:ascii="Times New Roman" w:hAnsi="Times New Roman" w:cs="宋体"/>
        </w:rPr>
        <w:t>27</w:t>
      </w:r>
      <w:r>
        <w:rPr>
          <w:rFonts w:hint="eastAsia" w:ascii="Times New Roman" w:hAnsi="Times New Roman" w:cs="宋体"/>
        </w:rPr>
        <w:t>日</w:t>
      </w:r>
      <w:bookmarkEnd w:id="13"/>
      <w:r>
        <w:rPr>
          <w:rFonts w:ascii="Times New Roman" w:hAnsi="Times New Roman" w:cs="宋体"/>
        </w:rPr>
        <w:t>https://tech.gmw.cn/2026-04/27/content_38734599.htm</w:t>
      </w:r>
      <w:r>
        <w:rPr>
          <w:rFonts w:ascii="Times New Roman" w:hAnsi="Times New Roman"/>
        </w:rPr>
        <w:t>）</w:t>
      </w:r>
    </w:p>
    <w:p>
      <w:pPr>
        <w:pStyle w:val="24"/>
        <w:ind w:firstLine="643"/>
        <w:jc w:val="both"/>
        <w:rPr>
          <w:rFonts w:hint="default" w:ascii="Times New Roman" w:hAnsi="Times New Roman" w:eastAsiaTheme="majorEastAsia" w:cstheme="majorEastAsia"/>
          <w:color w:val="auto"/>
        </w:rPr>
      </w:pPr>
      <w:bookmarkStart w:id="14" w:name="_Toc22830440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地方应用型本科高校高素质人才培养联盟在沪成立</w:t>
      </w:r>
      <w:bookmarkEnd w:id="14"/>
    </w:p>
    <w:p>
      <w:pPr>
        <w:pStyle w:val="25"/>
        <w:widowControl/>
        <w:rPr>
          <w:rFonts w:ascii="Times New Roman" w:hAnsi="Times New Roman"/>
        </w:rPr>
      </w:pPr>
      <w:r>
        <w:rPr>
          <w:rFonts w:hint="eastAsia" w:ascii="Times New Roman" w:hAnsi="Times New Roman"/>
        </w:rPr>
        <w:t>面对</w:t>
      </w:r>
      <w:r>
        <w:rPr>
          <w:rFonts w:hint="eastAsia" w:ascii="Times New Roman" w:hAnsi="Times New Roman"/>
          <w:lang w:eastAsia="zh-CN"/>
        </w:rPr>
        <w:t>新一轮科技革命和产业变革</w:t>
      </w:r>
      <w:r>
        <w:rPr>
          <w:rFonts w:hint="eastAsia" w:ascii="Times New Roman" w:hAnsi="Times New Roman"/>
        </w:rPr>
        <w:t>，占据中国本科教育“半壁江山”的地方应用型高校该如何破局？</w:t>
      </w:r>
      <w:r>
        <w:rPr>
          <w:rFonts w:ascii="Times New Roman" w:hAnsi="Times New Roman"/>
        </w:rPr>
        <w:t>4</w:t>
      </w:r>
      <w:r>
        <w:rPr>
          <w:rFonts w:hint="eastAsia" w:ascii="Times New Roman" w:hAnsi="Times New Roman"/>
        </w:rPr>
        <w:t>月</w:t>
      </w:r>
      <w:r>
        <w:rPr>
          <w:rFonts w:ascii="Times New Roman" w:hAnsi="Times New Roman"/>
        </w:rPr>
        <w:t>25</w:t>
      </w:r>
      <w:r>
        <w:rPr>
          <w:rFonts w:hint="eastAsia" w:ascii="Times New Roman" w:hAnsi="Times New Roman"/>
        </w:rPr>
        <w:t>日，一场旨在重塑应用型人才培养新生态的大会在上海应用技术大学举行。全国</w:t>
      </w:r>
      <w:r>
        <w:rPr>
          <w:rFonts w:ascii="Times New Roman" w:hAnsi="Times New Roman"/>
        </w:rPr>
        <w:t>32</w:t>
      </w:r>
      <w:r>
        <w:rPr>
          <w:rFonts w:hint="eastAsia" w:ascii="Times New Roman" w:hAnsi="Times New Roman"/>
        </w:rPr>
        <w:t>所地方应用型本科高校、行业企业及出版机构代表齐聚黄浦江畔，共同见证“地方应用型本科高校高素质人才培养联盟”（以下简称“联盟”）正式成立。这标志着，在国家大力推进产教融合与教育数字化的背景下，应用型本科高校正从“单兵突围”走向“雁阵共飞”，着力打造支撑区域产业高质量发展的人才策源地。</w:t>
      </w:r>
    </w:p>
    <w:p>
      <w:pPr>
        <w:pStyle w:val="25"/>
        <w:widowControl/>
        <w:ind w:firstLine="562"/>
        <w:rPr>
          <w:rFonts w:ascii="Times New Roman" w:hAnsi="Times New Roman"/>
          <w:b/>
        </w:rPr>
      </w:pPr>
      <w:r>
        <w:rPr>
          <w:rFonts w:hint="eastAsia" w:ascii="Times New Roman" w:hAnsi="Times New Roman"/>
          <w:b/>
        </w:rPr>
        <w:t>锚定“双优”，打造应用型高校的“头部方阵”</w:t>
      </w:r>
    </w:p>
    <w:p>
      <w:pPr>
        <w:pStyle w:val="25"/>
        <w:widowControl/>
        <w:rPr>
          <w:rFonts w:ascii="Times New Roman" w:hAnsi="Times New Roman"/>
        </w:rPr>
      </w:pPr>
      <w:r>
        <w:rPr>
          <w:rFonts w:hint="eastAsia" w:ascii="Times New Roman" w:hAnsi="Times New Roman"/>
        </w:rPr>
        <w:t>截至</w:t>
      </w:r>
      <w:r>
        <w:rPr>
          <w:rFonts w:ascii="Times New Roman" w:hAnsi="Times New Roman"/>
        </w:rPr>
        <w:t>2025</w:t>
      </w:r>
      <w:r>
        <w:rPr>
          <w:rFonts w:hint="eastAsia" w:ascii="Times New Roman" w:hAnsi="Times New Roman"/>
          <w:lang w:eastAsia="zh-CN"/>
        </w:rPr>
        <w:t>年</w:t>
      </w:r>
      <w:r>
        <w:rPr>
          <w:rFonts w:hint="eastAsia" w:ascii="Times New Roman" w:hAnsi="Times New Roman"/>
        </w:rPr>
        <w:t>，全国普通本科高校已达</w:t>
      </w:r>
      <w:r>
        <w:rPr>
          <w:rFonts w:ascii="Times New Roman" w:hAnsi="Times New Roman"/>
        </w:rPr>
        <w:t>1365</w:t>
      </w:r>
      <w:r>
        <w:rPr>
          <w:rFonts w:hint="eastAsia" w:ascii="Times New Roman" w:hAnsi="Times New Roman"/>
        </w:rPr>
        <w:t>所。其中，量大面广的地方应用型高校是服务区域经济发展、培养高素质技术技能人才的生力军。然而，专业设置滞后于产业发展、课程大纲与岗位需求脱节等痛点，依然制约着高校服务地方经济的能力。</w:t>
      </w:r>
    </w:p>
    <w:p>
      <w:pPr>
        <w:pStyle w:val="25"/>
        <w:widowControl/>
        <w:rPr>
          <w:rFonts w:ascii="Times New Roman" w:hAnsi="Times New Roman"/>
        </w:rPr>
      </w:pPr>
      <w:r>
        <w:rPr>
          <w:rFonts w:hint="eastAsia" w:ascii="Times New Roman" w:hAnsi="Times New Roman"/>
        </w:rPr>
        <w:t>正是基于这一时代背景，联盟应运而生。在上午举行的联盟理事会会议上，审议通过了联盟章程与组织架构。上海应用技术大学校长汪小帆担任首届轮值理事长，苏州科技大学、合肥大学、宁波工程学院等高校领导担任共同理事长。联盟由上海应用技术大学副校长吴志军兼任秘书长。</w:t>
      </w:r>
    </w:p>
    <w:p>
      <w:pPr>
        <w:pStyle w:val="25"/>
        <w:widowControl/>
        <w:rPr>
          <w:rFonts w:ascii="Times New Roman" w:hAnsi="Times New Roman"/>
        </w:rPr>
      </w:pPr>
      <w:r>
        <w:rPr>
          <w:rFonts w:hint="eastAsia" w:ascii="Times New Roman" w:hAnsi="Times New Roman"/>
        </w:rPr>
        <w:t>秉持“共生共长、协同创新、数智赋能、服务区域”的理念，联盟将通过共建标准、共研模式、共享资源、共强师资、共育人才，构建起一个产教融合的人才培养共同体，为区域产业高质量发展提供人才支撑与创新动力。</w:t>
      </w:r>
    </w:p>
    <w:p>
      <w:pPr>
        <w:pStyle w:val="25"/>
        <w:widowControl/>
        <w:ind w:firstLine="562"/>
        <w:rPr>
          <w:rFonts w:hint="eastAsia" w:ascii="Times New Roman" w:hAnsi="Times New Roman"/>
          <w:b/>
        </w:rPr>
      </w:pPr>
      <w:r>
        <w:rPr>
          <w:rFonts w:hint="eastAsia" w:ascii="Times New Roman" w:hAnsi="Times New Roman"/>
          <w:b/>
        </w:rPr>
        <w:t>扎根现场，把脉“新工科”与产教融合脉搏</w:t>
      </w:r>
    </w:p>
    <w:p>
      <w:pPr>
        <w:pStyle w:val="25"/>
        <w:rPr>
          <w:rFonts w:ascii="Times New Roman" w:hAnsi="Times New Roman"/>
        </w:rPr>
      </w:pPr>
      <w:r>
        <w:rPr>
          <w:rFonts w:hint="eastAsia" w:ascii="Times New Roman" w:hAnsi="Times New Roman"/>
        </w:rPr>
        <w:t>成立大会期间，联盟代表们专门前往东富龙智能制造创新研究院进行了实地考察，在真实的企业生产线旁，感知先进制造业对高素质现场工程师的迫切渴求。</w:t>
      </w:r>
    </w:p>
    <w:p>
      <w:pPr>
        <w:pStyle w:val="25"/>
        <w:widowControl/>
        <w:rPr>
          <w:rFonts w:ascii="Times New Roman" w:hAnsi="Times New Roman"/>
        </w:rPr>
      </w:pPr>
      <w:r>
        <w:rPr>
          <w:rFonts w:hint="eastAsia" w:ascii="Times New Roman" w:hAnsi="Times New Roman"/>
        </w:rPr>
        <w:t>在下午举行的“高素质人才培养研讨会”上，来自不同地域的高校代表分享了各自的破局之道。</w:t>
      </w:r>
    </w:p>
    <w:p>
      <w:pPr>
        <w:pStyle w:val="25"/>
        <w:widowControl/>
        <w:rPr>
          <w:rFonts w:ascii="Times New Roman" w:hAnsi="Times New Roman"/>
        </w:rPr>
      </w:pPr>
      <w:r>
        <w:rPr>
          <w:rFonts w:hint="eastAsia" w:ascii="Times New Roman" w:hAnsi="Times New Roman"/>
        </w:rPr>
        <w:t>作为联盟轮值理事长单位，上海应用技术大学副校长吴志军在报告中提出了“深化重服务强贡献，培养应用创新型人才”的理念，并强调要前瞻布局“四个未来”的教育新形态。上海电机学院则聚焦“卓越现场工程师”的培养，探讨了如何深化产教融合，精准服务全球先进制造业。</w:t>
      </w:r>
    </w:p>
    <w:p>
      <w:pPr>
        <w:pStyle w:val="25"/>
        <w:widowControl/>
        <w:rPr>
          <w:rFonts w:ascii="Times New Roman" w:hAnsi="Times New Roman"/>
        </w:rPr>
      </w:pPr>
      <w:r>
        <w:rPr>
          <w:rFonts w:hint="eastAsia" w:ascii="Times New Roman" w:hAnsi="Times New Roman"/>
        </w:rPr>
        <w:t>而作为中国较早探索应用型转型的标杆之一，合肥大学副校长王晓峰分享了“‘双元制’高等教育本土化探索与实践”，为破解学校教育与企业需求“两张皮”问题提供了生动的“合肥方案”。</w:t>
      </w:r>
    </w:p>
    <w:p>
      <w:pPr>
        <w:pStyle w:val="25"/>
        <w:widowControl/>
        <w:ind w:firstLine="562"/>
        <w:rPr>
          <w:rFonts w:hint="eastAsia" w:ascii="Times New Roman" w:hAnsi="Times New Roman"/>
          <w:b/>
        </w:rPr>
      </w:pPr>
      <w:r>
        <w:rPr>
          <w:rFonts w:hint="eastAsia" w:ascii="Times New Roman" w:hAnsi="Times New Roman"/>
          <w:b/>
        </w:rPr>
        <w:t>数智赋能，为专业重构与课程改革提供“智慧大脑”</w:t>
      </w:r>
    </w:p>
    <w:p>
      <w:pPr>
        <w:pStyle w:val="25"/>
        <w:widowControl/>
        <w:rPr>
          <w:rFonts w:ascii="Times New Roman" w:hAnsi="Times New Roman"/>
        </w:rPr>
      </w:pPr>
      <w:r>
        <w:rPr>
          <w:rFonts w:hint="eastAsia" w:ascii="Times New Roman" w:hAnsi="Times New Roman"/>
        </w:rPr>
        <w:t>值得关注的是，本次联盟不仅是高校间的闭环交流，更引入了学术出版机构与前沿教育科技企业深度参与，实现了跨界赋能。比如，北京纳人网络科技有限公司联合创始人李瑛出任联盟副秘书长，就体现了联盟借力数字化手段推动教育教改的决心。</w:t>
      </w:r>
    </w:p>
    <w:p>
      <w:pPr>
        <w:pStyle w:val="25"/>
        <w:widowControl/>
        <w:rPr>
          <w:rFonts w:ascii="Times New Roman" w:hAnsi="Times New Roman"/>
        </w:rPr>
      </w:pPr>
      <w:r>
        <w:rPr>
          <w:rFonts w:hint="eastAsia" w:ascii="Times New Roman" w:hAnsi="Times New Roman"/>
        </w:rPr>
        <w:t>研讨会上，高等教育出版社全国高校教研中心办公室主任张龙带来了《人工智能专项能力建设与赋能教育教学的探索》的主题报告，为高校利用</w:t>
      </w:r>
      <w:r>
        <w:rPr>
          <w:rFonts w:ascii="Times New Roman" w:hAnsi="Times New Roman"/>
        </w:rPr>
        <w:t>AI</w:t>
      </w:r>
      <w:r>
        <w:rPr>
          <w:rFonts w:hint="eastAsia" w:ascii="Times New Roman" w:hAnsi="Times New Roman"/>
        </w:rPr>
        <w:t>技术提升教学质量指明了方向。</w:t>
      </w:r>
    </w:p>
    <w:p>
      <w:pPr>
        <w:pStyle w:val="25"/>
        <w:widowControl/>
        <w:rPr>
          <w:rFonts w:ascii="Times New Roman" w:hAnsi="Times New Roman"/>
        </w:rPr>
      </w:pPr>
      <w:r>
        <w:rPr>
          <w:rFonts w:hint="eastAsia" w:ascii="Times New Roman" w:hAnsi="Times New Roman"/>
        </w:rPr>
        <w:t>“应用型大学的转型，必须从经验主导走向数据驱动。”纳人公司联合创始人李瑛在报告中直击当前高校专业内涵建设的痛点，为联盟高校展示了一套硬核的落地解法：依托</w:t>
      </w:r>
      <w:r>
        <w:rPr>
          <w:rFonts w:ascii="Times New Roman" w:hAnsi="Times New Roman"/>
        </w:rPr>
        <w:t>AI</w:t>
      </w:r>
      <w:r>
        <w:rPr>
          <w:rFonts w:hint="eastAsia" w:ascii="Times New Roman" w:hAnsi="Times New Roman"/>
        </w:rPr>
        <w:t>技术与大数据，通过构建精准的“产业需求能力图谱”，为高校提供从专业前瞻布局、课程体系优化到师资能力跃升的闭环服务。</w:t>
      </w:r>
    </w:p>
    <w:p>
      <w:pPr>
        <w:pStyle w:val="25"/>
        <w:widowControl/>
        <w:rPr>
          <w:rFonts w:ascii="Times New Roman" w:hAnsi="Times New Roman"/>
        </w:rPr>
      </w:pPr>
      <w:r>
        <w:rPr>
          <w:rFonts w:hint="eastAsia" w:ascii="Times New Roman" w:hAnsi="Times New Roman"/>
        </w:rPr>
        <w:t>未来，联盟高校的专业动态调整、</w:t>
      </w:r>
      <w:r>
        <w:rPr>
          <w:rFonts w:ascii="Times New Roman" w:hAnsi="Times New Roman"/>
        </w:rPr>
        <w:t>OBE</w:t>
      </w:r>
      <w:r>
        <w:rPr>
          <w:rFonts w:hint="eastAsia" w:ascii="Times New Roman" w:hAnsi="Times New Roman"/>
        </w:rPr>
        <w:t>（成果导向）课程大纲逆向诊断与重构，将拥有强大的“数据智库”支撑，从而实现人才培养标准与区域产业需求的“无缝咬合”。</w:t>
      </w:r>
    </w:p>
    <w:p>
      <w:pPr>
        <w:pStyle w:val="25"/>
        <w:rPr>
          <w:rFonts w:ascii="Times New Roman" w:hAnsi="Times New Roman"/>
        </w:rPr>
      </w:pPr>
      <w:r>
        <w:rPr>
          <w:rFonts w:hint="eastAsia" w:ascii="Times New Roman" w:hAnsi="Times New Roman"/>
        </w:rPr>
        <w:t>（</w:t>
      </w:r>
      <w:r>
        <w:rPr>
          <w:rFonts w:hint="eastAsia" w:ascii="Times New Roman" w:hAnsi="Times New Roman" w:cs="宋体"/>
        </w:rPr>
        <w:t>摘编自《中国教育报》202</w:t>
      </w:r>
      <w:r>
        <w:rPr>
          <w:rFonts w:ascii="Times New Roman" w:hAnsi="Times New Roman" w:cs="宋体"/>
        </w:rPr>
        <w:t>6</w:t>
      </w:r>
      <w:r>
        <w:rPr>
          <w:rFonts w:hint="eastAsia" w:ascii="Times New Roman" w:hAnsi="Times New Roman" w:cs="宋体"/>
        </w:rPr>
        <w:t>年</w:t>
      </w:r>
      <w:r>
        <w:rPr>
          <w:rFonts w:ascii="Times New Roman" w:hAnsi="Times New Roman" w:cs="宋体"/>
        </w:rPr>
        <w:t>04</w:t>
      </w:r>
      <w:r>
        <w:rPr>
          <w:rFonts w:hint="eastAsia" w:ascii="Times New Roman" w:hAnsi="Times New Roman" w:cs="宋体"/>
        </w:rPr>
        <w:t>月</w:t>
      </w:r>
      <w:r>
        <w:rPr>
          <w:rFonts w:ascii="Times New Roman" w:hAnsi="Times New Roman" w:cs="宋体"/>
        </w:rPr>
        <w:t>25</w:t>
      </w:r>
      <w:r>
        <w:rPr>
          <w:rFonts w:hint="eastAsia" w:ascii="Times New Roman" w:hAnsi="Times New Roman" w:cs="宋体"/>
        </w:rPr>
        <w:t>日第01版</w:t>
      </w:r>
      <w:r>
        <w:rPr>
          <w:rFonts w:hint="eastAsia" w:ascii="Times New Roman" w:hAnsi="Times New Roman"/>
        </w:rPr>
        <w:t>）</w:t>
      </w:r>
      <w:r>
        <w:rPr>
          <w:rFonts w:ascii="Times New Roman" w:hAnsi="Times New Roman"/>
        </w:rPr>
        <w:br w:type="page"/>
      </w:r>
    </w:p>
    <w:bookmarkEnd w:id="7"/>
    <w:bookmarkEnd w:id="8"/>
    <w:bookmarkEnd w:id="9"/>
    <w:bookmarkEnd w:id="10"/>
    <w:p>
      <w:pPr>
        <w:pStyle w:val="40"/>
        <w:rPr>
          <w:rFonts w:ascii="Times New Roman" w:hAnsi="Times New Roman"/>
        </w:rPr>
      </w:pPr>
      <w:bookmarkStart w:id="15" w:name="_Toc228304408"/>
      <w:r>
        <w:rPr>
          <w:rFonts w:hint="eastAsia" w:ascii="Times New Roman" w:hAnsi="Times New Roman"/>
        </w:rPr>
        <w:t>【政策法规】</w:t>
      </w:r>
      <w:bookmarkEnd w:id="15"/>
    </w:p>
    <w:p>
      <w:pPr>
        <w:pStyle w:val="25"/>
        <w:widowControl/>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6" w:name="_Toc228304409"/>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科技日报：工业和信息化部等十部门联合印发《人工智能科技伦理审查与服务办法（试行）》</w:t>
      </w:r>
      <w:bookmarkEnd w:id="16"/>
    </w:p>
    <w:p>
      <w:pPr>
        <w:pStyle w:val="25"/>
        <w:rPr>
          <w:rFonts w:ascii="Times New Roman" w:hAnsi="Times New Roman"/>
        </w:rPr>
      </w:pPr>
      <w:r>
        <w:rPr>
          <w:rFonts w:hint="eastAsia" w:ascii="Times New Roman" w:hAnsi="Times New Roman"/>
        </w:rPr>
        <w:t>近日，工业和信息化部等十部门联合印发《人工智能科技伦理审查与服务办法（试行）》（以下简称《办法》），为我国人工智能科技伦理审查与服务工作提供了明确指引。</w:t>
      </w:r>
    </w:p>
    <w:p>
      <w:pPr>
        <w:pStyle w:val="25"/>
        <w:rPr>
          <w:rFonts w:ascii="Times New Roman" w:hAnsi="Times New Roman"/>
        </w:rPr>
      </w:pPr>
      <w:r>
        <w:rPr>
          <w:rFonts w:hint="eastAsia" w:ascii="Times New Roman" w:hAnsi="Times New Roman"/>
        </w:rPr>
        <w:t>人工智能技术快速发展，深度赋能千行百业，由此带来的算法歧视、深度伪造等伦理风险也愈加凸显。人工智能科技伦理治理是人工智能治理的重要组成部分，主要包括增进人类福祉、公平公正、可控可信、透明可解释、责任可追溯、隐私保护等内涵。工业和信息化部有关负责人表示，加强人工智能科技伦理治理，是坚守科技向善、筑牢科技安全底线、保障产业高质量发展的必然要求。在此背景下，出台《办法》，既是对科技伦理治理要求的具体落地，也是推动人工智能产业创新发展、促进负责任创新的现实需要。</w:t>
      </w:r>
    </w:p>
    <w:p>
      <w:pPr>
        <w:pStyle w:val="25"/>
        <w:rPr>
          <w:rFonts w:ascii="Times New Roman" w:hAnsi="Times New Roman"/>
        </w:rPr>
      </w:pPr>
      <w:r>
        <w:rPr>
          <w:rFonts w:hint="eastAsia" w:ascii="Times New Roman" w:hAnsi="Times New Roman"/>
        </w:rPr>
        <w:t>根据《办法》要求，需要开展专家复核的人工智能科技活动主要包括三类：对人类主观行为、心理情绪和生命健康等具有较强影响的人机融合系统的研发；具有舆论社会动员能力和社会意识引导能力的算法模型、应用程序及系统的研发；面向存在安全、人身健康风险等场景的、具有高度自主能力的自动化决策系统的研发。</w:t>
      </w:r>
    </w:p>
    <w:p>
      <w:pPr>
        <w:pStyle w:val="25"/>
        <w:rPr>
          <w:rFonts w:ascii="Times New Roman" w:hAnsi="Times New Roman"/>
        </w:rPr>
      </w:pPr>
      <w:r>
        <w:rPr>
          <w:rFonts w:hint="eastAsia" w:ascii="Times New Roman" w:hAnsi="Times New Roman"/>
        </w:rPr>
        <w:t>《办法》围绕标准建设、促进服务、鼓励创新、宣传教育、人才培养五个方面制定举措，精准破解当前人工智能企业伦理治理中存在的技术手段不足、标准规范不完善、治理工具匮乏等问题。</w:t>
      </w:r>
    </w:p>
    <w:p>
      <w:pPr>
        <w:pStyle w:val="25"/>
        <w:rPr>
          <w:rFonts w:ascii="Times New Roman" w:hAnsi="Times New Roman"/>
        </w:rPr>
      </w:pPr>
      <w:r>
        <w:rPr>
          <w:rFonts w:hint="eastAsia" w:ascii="Times New Roman" w:hAnsi="Times New Roman"/>
        </w:rPr>
        <w:t>具体来看，《办法》鼓励高等学校、科研机构、医疗卫生机构、企业和科技类社会团体等参与人工智能科技伦理标准制定，凝聚行业共识，完善标准体系；推进人工智能科技伦理服务体系建设，强化风险监测预警、检测评估、认证、咨询等服务供给，加大对中小微企业人工智能科技伦理审查的支持和服务力度，降低企业合规成本；支持人工智能科技伦理审查技术创新，鼓励企业运用技术手段防范伦理风险；加强人工智能科技伦理宣传教育，提升公众伦理意识和素养；推动职业体系和课程体系建设，采取多种方式培养人工智能科技伦理人才。</w:t>
      </w:r>
    </w:p>
    <w:p>
      <w:pPr>
        <w:pStyle w:val="25"/>
        <w:rPr>
          <w:rFonts w:ascii="Times New Roman" w:hAnsi="Times New Roman"/>
        </w:rPr>
      </w:pPr>
      <w:r>
        <w:rPr>
          <w:rFonts w:hint="eastAsia" w:ascii="Times New Roman" w:hAnsi="Times New Roman"/>
        </w:rPr>
        <w:t>据了解，《办法》坚持促进创新与防范风险相统一，通过制定人工智能科技伦理审查规则，提升人工智能伦理治理能力，确保人工智能负责任创新。</w:t>
      </w:r>
    </w:p>
    <w:p>
      <w:pPr>
        <w:pStyle w:val="25"/>
        <w:rPr>
          <w:rFonts w:ascii="Times New Roman" w:hAnsi="Times New Roman"/>
        </w:rPr>
      </w:pPr>
      <w:r>
        <w:rPr>
          <w:rFonts w:ascii="Times New Roman" w:hAnsi="Times New Roman"/>
        </w:rPr>
        <w:t>（</w:t>
      </w:r>
      <w:r>
        <w:rPr>
          <w:rFonts w:hint="eastAsia" w:ascii="Times New Roman" w:hAnsi="Times New Roman" w:cs="宋体"/>
        </w:rPr>
        <w:t>摘编自《科技日报》202</w:t>
      </w:r>
      <w:r>
        <w:rPr>
          <w:rFonts w:ascii="Times New Roman" w:hAnsi="Times New Roman" w:cs="宋体"/>
        </w:rPr>
        <w:t>6</w:t>
      </w:r>
      <w:r>
        <w:rPr>
          <w:rFonts w:hint="eastAsia" w:ascii="Times New Roman" w:hAnsi="Times New Roman" w:cs="宋体"/>
        </w:rPr>
        <w:t>年</w:t>
      </w:r>
      <w:r>
        <w:rPr>
          <w:rFonts w:ascii="Times New Roman" w:hAnsi="Times New Roman" w:cs="宋体"/>
        </w:rPr>
        <w:t>04</w:t>
      </w:r>
      <w:r>
        <w:rPr>
          <w:rFonts w:hint="eastAsia" w:ascii="Times New Roman" w:hAnsi="Times New Roman" w:cs="宋体"/>
        </w:rPr>
        <w:t>月</w:t>
      </w:r>
      <w:r>
        <w:rPr>
          <w:rFonts w:ascii="Times New Roman" w:hAnsi="Times New Roman" w:cs="宋体"/>
        </w:rPr>
        <w:t>08</w:t>
      </w:r>
      <w:r>
        <w:rPr>
          <w:rFonts w:hint="eastAsia" w:ascii="Times New Roman" w:hAnsi="Times New Roman" w:cs="宋体"/>
        </w:rPr>
        <w:t>日第0</w:t>
      </w:r>
      <w:r>
        <w:rPr>
          <w:rFonts w:ascii="Times New Roman" w:hAnsi="Times New Roman" w:cs="宋体"/>
        </w:rPr>
        <w:t>2</w:t>
      </w:r>
      <w:r>
        <w:rPr>
          <w:rFonts w:hint="eastAsia" w:ascii="Times New Roman" w:hAnsi="Times New Roman" w:cs="宋体"/>
        </w:rPr>
        <w:t>版</w:t>
      </w:r>
      <w:r>
        <w:rPr>
          <w:rFonts w:ascii="Times New Roman" w:hAnsi="Times New Roman"/>
        </w:rPr>
        <w:t>）</w:t>
      </w:r>
    </w:p>
    <w:p>
      <w:pPr>
        <w:pStyle w:val="25"/>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7" w:name="_Toc22830441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中国教育报：教育部等五部门联合印发《“人工智能+教育”行动计划》</w:t>
      </w:r>
      <w:bookmarkEnd w:id="17"/>
    </w:p>
    <w:p>
      <w:pPr>
        <w:pStyle w:val="25"/>
        <w:rPr>
          <w:rFonts w:ascii="Times New Roman" w:hAnsi="Times New Roman"/>
        </w:rPr>
      </w:pPr>
      <w:r>
        <w:rPr>
          <w:rFonts w:hint="eastAsia" w:ascii="Times New Roman" w:hAnsi="Times New Roman"/>
        </w:rPr>
        <w:t>为落实《国务院关于深入实施“人工智能+”行动的意见》部署要求，近日，教育部、国家发展改革委、工业和信息化部、科技部、国家数据局联合印发《“人工智能+教育”行动计划》（以下简称《行动计划》），旨在一体推进人工智能人才培养和应用创新，统筹谋划基础环境和创新生态建设，系统构建智能时代的教育体系。</w:t>
      </w:r>
    </w:p>
    <w:p>
      <w:pPr>
        <w:pStyle w:val="25"/>
        <w:rPr>
          <w:rFonts w:ascii="Times New Roman" w:hAnsi="Times New Roman"/>
        </w:rPr>
      </w:pPr>
      <w:r>
        <w:rPr>
          <w:rFonts w:hint="eastAsia" w:ascii="Times New Roman" w:hAnsi="Times New Roman"/>
        </w:rPr>
        <w:t>《行动计划》提出推进“十五五”期间“人工智能+教育”四大重点任务。一是推动人工智能人才培养与素养提升。基础教育阶段确保开齐开足开好人工智能课程，着力培养学生智能思维；高等教育阶段将人工智能纳入公共基础课程体系；职业教育阶段推动传统产业相关专业的智能转型，培养适应产业变革的高技能人才；促进全社会的人工智能通识教育，全面提升教师的数字素养和技能，充分激发其应用人工智能创新教育教学模式的内生动力。</w:t>
      </w:r>
    </w:p>
    <w:p>
      <w:pPr>
        <w:pStyle w:val="25"/>
        <w:rPr>
          <w:rFonts w:ascii="Times New Roman" w:hAnsi="Times New Roman"/>
        </w:rPr>
      </w:pPr>
      <w:r>
        <w:rPr>
          <w:rFonts w:hint="eastAsia" w:ascii="Times New Roman" w:hAnsi="Times New Roman"/>
        </w:rPr>
        <w:t>二是促进人工智能与教育深度融合。赋能学生学习，推动德智体美劳全面发展、满足多元化个性化学习需求、促进教育优质均衡和全纳包容；赋能教师教学，推动构建覆盖课前、课中、课后全环节的智能应用；赋能教育治理，实现便捷服务、精准管理、科学决策；赋能科学研究，积极推动人工智能驱动的科研范式变革。</w:t>
      </w:r>
    </w:p>
    <w:p>
      <w:pPr>
        <w:pStyle w:val="25"/>
        <w:rPr>
          <w:rFonts w:ascii="Times New Roman" w:hAnsi="Times New Roman"/>
        </w:rPr>
      </w:pPr>
      <w:r>
        <w:rPr>
          <w:rFonts w:hint="eastAsia" w:ascii="Times New Roman" w:hAnsi="Times New Roman"/>
        </w:rPr>
        <w:t>三是建强“人工智能+教育”基础环境。构筑智能教育基座，建设国家教育智能算力服务平台（教育智联网），提供高质量算力支撑、数据服务、模型能力和智能体工具；培育应用生态，共同构建多元主体协同众创生态；建立智能应用能力评估体系，遴选优质成熟智能应用；建设未来教育空间，打造未来课堂、未来学校、未来学习中心、未来实训中心。</w:t>
      </w:r>
    </w:p>
    <w:p>
      <w:pPr>
        <w:pStyle w:val="25"/>
        <w:rPr>
          <w:rFonts w:ascii="Times New Roman" w:hAnsi="Times New Roman"/>
        </w:rPr>
      </w:pPr>
      <w:r>
        <w:rPr>
          <w:rFonts w:hint="eastAsia" w:ascii="Times New Roman" w:hAnsi="Times New Roman"/>
        </w:rPr>
        <w:t>四是优化“人工智能+教育”发展生态。深化研究创新，推动多学科交叉，构建“政产学研金”协同机制，培育高质量教育智能产品；强化条件保障，构建契合人工智能发展的教育政策制度体系；拓展国际合作，推动优质公共产品和中国标准“走出去”；筑牢安全屏障，守牢人工智能安全底线。</w:t>
      </w:r>
    </w:p>
    <w:p>
      <w:pPr>
        <w:pStyle w:val="25"/>
        <w:rPr>
          <w:rFonts w:ascii="Times New Roman" w:hAnsi="Times New Roman"/>
        </w:rPr>
      </w:pPr>
      <w:r>
        <w:rPr>
          <w:rFonts w:hint="eastAsia" w:ascii="Times New Roman" w:hAnsi="Times New Roman"/>
        </w:rPr>
        <w:t>教育部科学技术与信息化司负责人介绍，“人工智能+教育”的总体思路是坚持育人为本，既要启迪学生智慧、激发创新思维，更要注重关怀学生心灵成长、塑造健全人格；坚持素养为先，大力推进人工智能全学段教育和全社会通识教育；坚持应用导向，立足个性学习、教师减负、科学决策等教育热点问题，布局一批具有前瞻价值、变革意义的应用场景；坚持智能向善，统筹发展和安全，研制人工智能标准规范，加强内容安全、技术安全、数据安全、算法安全和伦理安全的评估与保护。《行动计划》四大政策亮点突出，即实现人工智能教育全阶段覆盖，促进人工智能应用全场景触达，提供人工智能环境全方位保障，推动人工智能机制全要素创新。</w:t>
      </w:r>
    </w:p>
    <w:p>
      <w:pPr>
        <w:pStyle w:val="25"/>
        <w:rPr>
          <w:rFonts w:ascii="Times New Roman" w:hAnsi="Times New Roman"/>
        </w:rPr>
      </w:pPr>
      <w:r>
        <w:rPr>
          <w:rFonts w:ascii="Times New Roman" w:hAnsi="Times New Roman"/>
        </w:rPr>
        <w:t>（</w:t>
      </w:r>
      <w:r>
        <w:rPr>
          <w:rFonts w:hint="eastAsia" w:ascii="Times New Roman" w:hAnsi="Times New Roman" w:cs="宋体"/>
        </w:rPr>
        <w:t>摘编自《中国教育报》202</w:t>
      </w:r>
      <w:r>
        <w:rPr>
          <w:rFonts w:ascii="Times New Roman" w:hAnsi="Times New Roman" w:cs="宋体"/>
        </w:rPr>
        <w:t>6</w:t>
      </w:r>
      <w:r>
        <w:rPr>
          <w:rFonts w:hint="eastAsia" w:ascii="Times New Roman" w:hAnsi="Times New Roman" w:cs="宋体"/>
        </w:rPr>
        <w:t>年</w:t>
      </w:r>
      <w:r>
        <w:rPr>
          <w:rFonts w:ascii="Times New Roman" w:hAnsi="Times New Roman" w:cs="宋体"/>
        </w:rPr>
        <w:t>01</w:t>
      </w:r>
      <w:r>
        <w:rPr>
          <w:rFonts w:hint="eastAsia" w:ascii="Times New Roman" w:hAnsi="Times New Roman" w:cs="宋体"/>
        </w:rPr>
        <w:t>月</w:t>
      </w:r>
      <w:r>
        <w:rPr>
          <w:rFonts w:ascii="Times New Roman" w:hAnsi="Times New Roman" w:cs="宋体"/>
        </w:rPr>
        <w:t>11</w:t>
      </w:r>
      <w:r>
        <w:rPr>
          <w:rFonts w:hint="eastAsia" w:ascii="Times New Roman" w:hAnsi="Times New Roman" w:cs="宋体"/>
        </w:rPr>
        <w:t>日第0</w:t>
      </w:r>
      <w:r>
        <w:rPr>
          <w:rFonts w:ascii="Times New Roman" w:hAnsi="Times New Roman" w:cs="宋体"/>
        </w:rPr>
        <w:t>1</w:t>
      </w:r>
      <w:r>
        <w:rPr>
          <w:rFonts w:hint="eastAsia" w:ascii="Times New Roman" w:hAnsi="Times New Roman" w:cs="宋体"/>
        </w:rPr>
        <w:t>版</w:t>
      </w:r>
      <w:r>
        <w:rPr>
          <w:rFonts w:ascii="Times New Roman" w:hAnsi="Times New Roman"/>
        </w:rPr>
        <w:t>）</w:t>
      </w:r>
    </w:p>
    <w:p>
      <w:pPr>
        <w:widowControl/>
        <w:jc w:val="left"/>
        <w:rPr>
          <w:rFonts w:ascii="Times New Roman" w:hAnsi="Times New Roman" w:eastAsia="宋体" w:cs="Times New Roman"/>
          <w:sz w:val="28"/>
        </w:rPr>
      </w:pPr>
      <w:r>
        <w:rPr>
          <w:rFonts w:ascii="Times New Roman" w:hAnsi="Times New Roman"/>
        </w:rPr>
        <w:br w:type="page"/>
      </w:r>
    </w:p>
    <w:p>
      <w:pPr>
        <w:pStyle w:val="40"/>
        <w:rPr>
          <w:rFonts w:ascii="Times New Roman" w:hAnsi="Times New Roman"/>
        </w:rPr>
      </w:pPr>
      <w:bookmarkStart w:id="18" w:name="_Toc228304411"/>
      <w:r>
        <w:rPr>
          <w:rFonts w:hint="eastAsia" w:ascii="Times New Roman" w:hAnsi="Times New Roman"/>
        </w:rPr>
        <w:t>【升大动态】</w:t>
      </w:r>
      <w:bookmarkEnd w:id="18"/>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9" w:name="_Toc228304412"/>
      <w:bookmarkStart w:id="20" w:name="_Toc2930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扬子晚报：南京支持南京晓庄学院、金陵科技学院更名大学</w:t>
      </w:r>
      <w:bookmarkEnd w:id="19"/>
    </w:p>
    <w:p>
      <w:pPr>
        <w:pStyle w:val="25"/>
        <w:rPr>
          <w:rFonts w:ascii="Times New Roman" w:hAnsi="Times New Roman"/>
        </w:rPr>
      </w:pPr>
      <w:r>
        <w:rPr>
          <w:rFonts w:hint="eastAsia" w:ascii="Times New Roman" w:hAnsi="Times New Roman"/>
        </w:rPr>
        <w:t>近日，南京市人民政府正式印发《南京市国民经济和社会发展第十五个五年规划纲要》。在“建设现代化教育强市”篇章中，提到强化高等教育特色发展。提出支持南京晓庄学院、金陵科技学院更名大学，建设省一流应用型本科高校，推动博士学位授予单位的培育和建设。鼓励国内外高校在宁举办合作办学项目，创建新型大学。</w:t>
      </w:r>
    </w:p>
    <w:p>
      <w:pPr>
        <w:pStyle w:val="25"/>
        <w:rPr>
          <w:rFonts w:ascii="Times New Roman" w:hAnsi="Times New Roman"/>
        </w:rPr>
      </w:pPr>
      <w:r>
        <w:rPr>
          <w:rFonts w:hint="eastAsia" w:ascii="Times New Roman" w:hAnsi="Times New Roman"/>
        </w:rPr>
        <w:t>规划还提到，推动高等教育自强卓越、协同创新发展。鼓励市属高校积极参与“双高协同”发展，结合城市产业发展方向优化学科设置，建立跨学科、跨专业、跨年级的校企联合创新创业教育实训平台、创新创业示范基地、科技创业实习基地，推进“卓越人才培养计划”。推动高等教育与基础教育融合发展，鼓励在宁高校将更多优质资源辐射中小学，共建高校附属学校，试点探索高等教育与基础教育一体贯通培养拔尖创新人才机制。</w:t>
      </w:r>
    </w:p>
    <w:p>
      <w:pPr>
        <w:pStyle w:val="25"/>
        <w:rPr>
          <w:rFonts w:ascii="Times New Roman" w:hAnsi="Times New Roman"/>
        </w:rPr>
      </w:pPr>
      <w:r>
        <w:rPr>
          <w:rFonts w:hint="eastAsia" w:ascii="Times New Roman" w:hAnsi="Times New Roman"/>
        </w:rPr>
        <w:t>据了解，南京晓庄学院是由江苏省和南京市共建、南京市属全日制公办普通本科院校。学校前身是伟大的人民教育家陶行知先生1927年创办的“晓庄试验乡村师范”，是我国乡村师范教育发祥地，是近代中国教育家精神策源地。1951年，经周恩来总理批准，南京晓庄师范学校复校。2000年，南京市晓庄师范学校和南京师范专科学校、南京教育学院合并建立南京晓庄学院。2014年，南京幼儿高等师范学校并入。2024年，学校获批硕士学位授予单位。</w:t>
      </w:r>
    </w:p>
    <w:p>
      <w:pPr>
        <w:pStyle w:val="25"/>
        <w:rPr>
          <w:rFonts w:ascii="Times New Roman" w:hAnsi="Times New Roman"/>
        </w:rPr>
      </w:pPr>
      <w:r>
        <w:rPr>
          <w:rFonts w:hint="eastAsia" w:ascii="Times New Roman" w:hAnsi="Times New Roman"/>
        </w:rPr>
        <w:t>金陵科技学院是一所以培养高素质应用型人才为任务的公办全日制普通本科院校，是教育部应用科技大学改革试点战略研究单位、中国应用技术大学（学院）联盟创始单位、长三角地区应用型本科高校联盟主席单位、江苏省一流应用型本科高校建设单位。学校前身是1980年成立的新中国第一所全日制城市职业大学——金陵职业大学和1958年成立、1984年复建的南京市农业专科学校。2002年6月经教育部和省市政府批准，两校合并筹建金陵科技学院，2005年3月正式成立。2021年获批为硕士学位授予单位，2025年获批为江苏省博士学位授予立项建设单位。</w:t>
      </w:r>
    </w:p>
    <w:p>
      <w:pPr>
        <w:pStyle w:val="25"/>
        <w:widowControl/>
        <w:rPr>
          <w:rFonts w:ascii="Times New Roman" w:hAnsi="Times New Roman"/>
        </w:rPr>
      </w:pPr>
      <w:r>
        <w:rPr>
          <w:rFonts w:hint="eastAsia" w:ascii="Times New Roman" w:hAnsi="Times New Roman"/>
        </w:rPr>
        <w:t>（摘编自《扬子晚报》202</w:t>
      </w:r>
      <w:r>
        <w:rPr>
          <w:rFonts w:ascii="Times New Roman" w:hAnsi="Times New Roman"/>
        </w:rPr>
        <w:t>6</w:t>
      </w:r>
      <w:r>
        <w:rPr>
          <w:rFonts w:hint="eastAsia" w:ascii="Times New Roman" w:hAnsi="Times New Roman"/>
        </w:rPr>
        <w:t>年</w:t>
      </w:r>
      <w:r>
        <w:rPr>
          <w:rFonts w:ascii="Times New Roman" w:hAnsi="Times New Roman"/>
        </w:rPr>
        <w:t>04</w:t>
      </w:r>
      <w:r>
        <w:rPr>
          <w:rFonts w:hint="eastAsia" w:ascii="Times New Roman" w:hAnsi="Times New Roman"/>
        </w:rPr>
        <w:t>月</w:t>
      </w:r>
      <w:r>
        <w:rPr>
          <w:rFonts w:ascii="Times New Roman" w:hAnsi="Times New Roman"/>
        </w:rPr>
        <w:t>10</w:t>
      </w:r>
      <w:r>
        <w:rPr>
          <w:rFonts w:hint="eastAsia" w:ascii="Times New Roman" w:hAnsi="Times New Roman"/>
        </w:rPr>
        <w:t>日第0</w:t>
      </w:r>
      <w:r>
        <w:rPr>
          <w:rFonts w:ascii="Times New Roman" w:hAnsi="Times New Roman"/>
        </w:rPr>
        <w:t>2</w:t>
      </w:r>
      <w:r>
        <w:rPr>
          <w:rFonts w:hint="eastAsia" w:ascii="Times New Roman" w:hAnsi="Times New Roman"/>
        </w:rPr>
        <w:t>版）</w:t>
      </w:r>
    </w:p>
    <w:p>
      <w:pPr>
        <w:pStyle w:val="25"/>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21" w:name="_Toc22830441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浙江日报：</w:t>
      </w:r>
      <w:bookmarkEnd w:id="20"/>
      <w:r>
        <w:rPr>
          <w:rFonts w:ascii="Times New Roman" w:hAnsi="Times New Roman" w:eastAsiaTheme="majorEastAsia" w:cstheme="majorEastAsia"/>
          <w:color w:val="auto"/>
        </w:rPr>
        <w:t>湖州师范学院更名湖州师范大学</w:t>
      </w:r>
      <w:bookmarkEnd w:id="21"/>
    </w:p>
    <w:p>
      <w:pPr>
        <w:pStyle w:val="25"/>
        <w:rPr>
          <w:rFonts w:ascii="Times New Roman" w:hAnsi="Times New Roman"/>
        </w:rPr>
      </w:pPr>
      <w:r>
        <w:rPr>
          <w:rFonts w:ascii="Times New Roman" w:hAnsi="Times New Roman"/>
        </w:rPr>
        <w:t>4</w:t>
      </w:r>
      <w:r>
        <w:rPr>
          <w:rFonts w:hint="eastAsia" w:ascii="Times New Roman" w:hAnsi="Times New Roman"/>
        </w:rPr>
        <w:t>月1</w:t>
      </w:r>
      <w:r>
        <w:rPr>
          <w:rFonts w:ascii="Times New Roman" w:hAnsi="Times New Roman"/>
        </w:rPr>
        <w:t>6</w:t>
      </w:r>
      <w:r>
        <w:rPr>
          <w:rFonts w:hint="eastAsia" w:ascii="Times New Roman" w:hAnsi="Times New Roman"/>
        </w:rPr>
        <w:t>日上午，湖州师范大学举行揭牌仪式。这也标志着湖州师范学院更名湖州师范大学正式完成。</w:t>
      </w:r>
    </w:p>
    <w:p>
      <w:pPr>
        <w:pStyle w:val="25"/>
        <w:rPr>
          <w:rFonts w:ascii="Times New Roman" w:hAnsi="Times New Roman"/>
        </w:rPr>
      </w:pPr>
      <w:r>
        <w:rPr>
          <w:rFonts w:hint="eastAsia" w:ascii="Times New Roman" w:hAnsi="Times New Roman"/>
        </w:rPr>
        <w:t>揭牌仪式上，省教育厅负责人宣</w:t>
      </w:r>
      <w:r>
        <w:rPr>
          <w:rFonts w:hint="eastAsia" w:ascii="Times New Roman" w:hAnsi="Times New Roman"/>
          <w:lang w:eastAsia="zh-CN"/>
        </w:rPr>
        <w:t>读了</w:t>
      </w:r>
      <w:r>
        <w:rPr>
          <w:rFonts w:hint="eastAsia" w:ascii="Times New Roman" w:hAnsi="Times New Roman"/>
        </w:rPr>
        <w:t>《教育部关于同意湖州师范学院更名为湖州师范大学的函》。与会嘉宾共同为湖州师范大学新校名揭幕。</w:t>
      </w:r>
    </w:p>
    <w:p>
      <w:pPr>
        <w:pStyle w:val="25"/>
        <w:rPr>
          <w:rFonts w:ascii="Times New Roman" w:hAnsi="Times New Roman"/>
        </w:rPr>
      </w:pPr>
      <w:r>
        <w:rPr>
          <w:rFonts w:hint="eastAsia" w:ascii="Times New Roman" w:hAnsi="Times New Roman"/>
        </w:rPr>
        <w:t>湖州师范大学官网信息显示，该校办学历史可追溯至1916年创立的钱塘道第三联合县立师范讲习所，1994年开始招收本科生，1999年原湖州师范专科学校、湖州师范学校和湖州教师进修学院合并成立湖州师范学院。目前，该校拥有教育学、工学等11大学科门类，面向全国29个省份招生，全日制学生1.7万余人。</w:t>
      </w:r>
    </w:p>
    <w:p>
      <w:pPr>
        <w:pStyle w:val="25"/>
        <w:rPr>
          <w:rFonts w:ascii="Times New Roman" w:hAnsi="Times New Roman"/>
        </w:rPr>
      </w:pPr>
      <w:r>
        <w:rPr>
          <w:rFonts w:hint="eastAsia" w:ascii="Times New Roman" w:hAnsi="Times New Roman"/>
        </w:rPr>
        <w:t>湖州师范大学负责人表示，湖州师范大学将聚焦“拼‘博’登峰创一流”，奋力建设师范底色鲜明、应用特色突出、社会服务有力、综合属性彰显的高水平师范大学。</w:t>
      </w:r>
    </w:p>
    <w:p>
      <w:pPr>
        <w:pStyle w:val="25"/>
        <w:wordWrap w:val="0"/>
        <w:rPr>
          <w:rFonts w:ascii="Times New Roman" w:hAnsi="Times New Roman"/>
        </w:rPr>
      </w:pPr>
      <w:r>
        <w:rPr>
          <w:rFonts w:hint="eastAsia" w:ascii="Times New Roman" w:hAnsi="Times New Roman"/>
        </w:rPr>
        <w:t>（摘编自《浙江日报》202</w:t>
      </w:r>
      <w:r>
        <w:rPr>
          <w:rFonts w:ascii="Times New Roman" w:hAnsi="Times New Roman"/>
        </w:rPr>
        <w:t>6</w:t>
      </w:r>
      <w:r>
        <w:rPr>
          <w:rFonts w:hint="eastAsia" w:ascii="Times New Roman" w:hAnsi="Times New Roman"/>
        </w:rPr>
        <w:t>年</w:t>
      </w:r>
      <w:r>
        <w:rPr>
          <w:rFonts w:ascii="Times New Roman" w:hAnsi="Times New Roman"/>
        </w:rPr>
        <w:t>04</w:t>
      </w:r>
      <w:r>
        <w:rPr>
          <w:rFonts w:hint="eastAsia" w:ascii="Times New Roman" w:hAnsi="Times New Roman"/>
        </w:rPr>
        <w:t>月</w:t>
      </w:r>
      <w:r>
        <w:rPr>
          <w:rFonts w:ascii="Times New Roman" w:hAnsi="Times New Roman"/>
        </w:rPr>
        <w:t>17</w:t>
      </w:r>
      <w:r>
        <w:rPr>
          <w:rFonts w:hint="eastAsia" w:ascii="Times New Roman" w:hAnsi="Times New Roman"/>
        </w:rPr>
        <w:t>日第02版）</w:t>
      </w:r>
    </w:p>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22" w:name="_Toc20590"/>
      <w:bookmarkStart w:id="23" w:name="_Toc228304414"/>
      <w:r>
        <w:rPr>
          <w:rFonts w:ascii="Times New Roman" w:hAnsi="Times New Roman"/>
        </w:rPr>
        <w:t>【</w:t>
      </w:r>
      <w:r>
        <w:rPr>
          <w:rFonts w:hint="eastAsia" w:ascii="Times New Roman" w:hAnsi="Times New Roman"/>
        </w:rPr>
        <w:t>院校扫描</w:t>
      </w:r>
      <w:r>
        <w:rPr>
          <w:rFonts w:ascii="Times New Roman" w:hAnsi="Times New Roman"/>
        </w:rPr>
        <w:t>】</w:t>
      </w:r>
      <w:bookmarkEnd w:id="22"/>
      <w:bookmarkEnd w:id="23"/>
    </w:p>
    <w:p>
      <w:pPr>
        <w:pStyle w:val="25"/>
        <w:ind w:firstLine="0" w:firstLineChars="0"/>
        <w:jc w:val="center"/>
        <w:rPr>
          <w:rFonts w:ascii="Times New Roman" w:hAnsi="Times New Roman"/>
        </w:rPr>
      </w:pPr>
    </w:p>
    <w:p>
      <w:pPr>
        <w:pStyle w:val="24"/>
        <w:ind w:firstLine="643"/>
        <w:jc w:val="both"/>
        <w:rPr>
          <w:rFonts w:hint="default" w:ascii="Times New Roman" w:hAnsi="Times New Roman"/>
          <w:color w:val="auto"/>
        </w:rPr>
      </w:pPr>
      <w:bookmarkStart w:id="24" w:name="_Toc215249277"/>
      <w:bookmarkStart w:id="25" w:name="_Toc228304415"/>
      <w:r>
        <w:rPr>
          <w:rFonts w:ascii="Times New Roman" w:hAnsi="Times New Roman" w:eastAsiaTheme="majorEastAsia" w:cstheme="majorEastAsia"/>
          <w:color w:val="auto"/>
        </w:rPr>
        <w:sym w:font="Wingdings" w:char="F075"/>
      </w:r>
      <w:bookmarkEnd w:id="24"/>
      <w:r>
        <w:rPr>
          <w:rFonts w:ascii="Times New Roman" w:hAnsi="Times New Roman" w:eastAsiaTheme="majorEastAsia" w:cstheme="majorEastAsia"/>
          <w:color w:val="auto"/>
        </w:rPr>
        <w:t>南阳师范学院：四链融合 校企双聘 培养新工科人才</w:t>
      </w:r>
      <w:bookmarkEnd w:id="25"/>
    </w:p>
    <w:p>
      <w:pPr>
        <w:pStyle w:val="25"/>
        <w:rPr>
          <w:rFonts w:ascii="Times New Roman" w:hAnsi="Times New Roman"/>
        </w:rPr>
      </w:pPr>
      <w:r>
        <w:rPr>
          <w:rFonts w:hint="eastAsia" w:ascii="Times New Roman" w:hAnsi="Times New Roman"/>
        </w:rPr>
        <w:t>在河南省积极推进高校结构布局、学科学院、专业结构“三个调整优化”的背景下，一场关于新工科人才培养的“双向奔赴”正在南阳师范学院悄然上演。</w:t>
      </w:r>
    </w:p>
    <w:p>
      <w:pPr>
        <w:pStyle w:val="25"/>
        <w:rPr>
          <w:rFonts w:ascii="Times New Roman" w:hAnsi="Times New Roman"/>
        </w:rPr>
      </w:pPr>
      <w:r>
        <w:rPr>
          <w:rFonts w:hint="eastAsia" w:ascii="Times New Roman" w:hAnsi="Times New Roman"/>
        </w:rPr>
        <w:t>2026年初春，在南阳师范学院智能防爆装备河南省协同创新中心，学生正围绕“智能型正压防爆控制器研发”项目开展联合攻关。这个源于企业一线的真实课题，如今已成为该校电气工程及其自动化本科生的必修实践课。这一幕，正是南阳师范学院依托河南省高等教育教学改革研究与实践项目“职普融通、产教融合、科教融汇：地方高校新型现代产业学院建设研究与实践”及河南省教师教育课程改革研究项目“人工智能背景下‘一核两翼三平台四融合’生物师范生人才培养模式改革与实践”开展研究工作，创建“四链融合，校企双聘”育人模式，提升地方师范院校新工科人才培养质量的生动缩影。近年来，南阳师范学院立足豫西南，以建设“师范根基深厚、应用特色鲜明的高水平师范大学”为目标，主动对接河南省“7+28+N”重点产业链群需求，面向智能防爆装备、光电信息、生物医药等特色产业集群，系统性重构新工科人才培养体系，交出了一份高质量的育人答卷，为地方高校新工科人才培养探索出一条可复制、可推广的实践路径。</w:t>
      </w:r>
    </w:p>
    <w:p>
      <w:pPr>
        <w:pStyle w:val="25"/>
        <w:rPr>
          <w:rFonts w:ascii="Times New Roman" w:hAnsi="Times New Roman"/>
        </w:rPr>
      </w:pPr>
      <w:r>
        <w:rPr>
          <w:rFonts w:hint="eastAsia" w:ascii="Times New Roman" w:hAnsi="Times New Roman"/>
        </w:rPr>
        <w:t>2023年12月，河南省教育部门等三部门正式批复三所高校建设首批新型现代产业学院试点，河南师范大学现代工学院用实践证明，师范院校办工科，关键要打破学科壁垒、对接产业需求、重构人才培养体系。受此启发，南阳师范学院立足自身实际，提出了“四链融合、校企双聘”的改革思路——在夯实工程基础的同时，推动人才链、产业链、创新链和资金链“四链”深度融合，同时探索高层次人才“校企双聘、互聘共享”模式，实现人才的跨界流动，构建出具有地方师范院校特色的新工科人才培养模式。</w:t>
      </w:r>
    </w:p>
    <w:p>
      <w:pPr>
        <w:pStyle w:val="25"/>
        <w:ind w:firstLine="562"/>
        <w:rPr>
          <w:rFonts w:ascii="Times New Roman" w:hAnsi="Times New Roman"/>
          <w:b/>
        </w:rPr>
      </w:pPr>
      <w:r>
        <w:rPr>
          <w:rFonts w:hint="eastAsia" w:ascii="Times New Roman" w:hAnsi="Times New Roman"/>
          <w:b/>
        </w:rPr>
        <w:t>以产定研，引导资金链与人才链精准投放</w:t>
      </w:r>
    </w:p>
    <w:p>
      <w:pPr>
        <w:pStyle w:val="25"/>
        <w:rPr>
          <w:rFonts w:ascii="Times New Roman" w:hAnsi="Times New Roman"/>
        </w:rPr>
      </w:pPr>
      <w:r>
        <w:rPr>
          <w:rFonts w:hint="eastAsia" w:ascii="Times New Roman" w:hAnsi="Times New Roman"/>
        </w:rPr>
        <w:t>近年来，南阳师范学院主动对接区域特色主导产业，通过与龙头企业联合建立实体化创新平台、常态化调研产业链问题、围绕企业“卡脖子”问题设置课题等一系列措施，引导资金链与人才链实现精准投放。学院依托南阳防爆装备制造行业的完整产业链优势，联合卧龙电气南阳防爆集团股份有限公司等企业共建“卧龙防爆电机”产业学院，聚焦高端智能防爆装备领域，致力于打造“产—教—科—创”深度融合的人才培养模式。学院累计参与企业委托项目40余项，获批到账经费1500余万元，研发的“云智能防爆控制柜”已实现批量生产，每年为企业创造效益1500余万元。生命科学学院依托南阳养殖业大市优势，与牧原食品股份有限公司合建“智慧与健康养殖”河南省重点产业学院，打造“一核（立德树人）、二翼（突出专业特色和创新应用型人才培养）、三平台（校内实训、校外实践和创新创业平台）、四融合（人才链、产业链、创新链和资金链融合）”的人才培养模式。学院累计获批横向项目60余项，到账经费900余万元，研发的“仔猪病毒性腹泻复合卵黄抗体制剂”为企业新增产值5000余万元，有效促进了区域优势产业的升级，形成“以产定研”的选题闭环。</w:t>
      </w:r>
    </w:p>
    <w:p>
      <w:pPr>
        <w:pStyle w:val="25"/>
        <w:ind w:firstLine="562"/>
        <w:rPr>
          <w:rFonts w:ascii="Times New Roman" w:hAnsi="Times New Roman"/>
          <w:b/>
        </w:rPr>
      </w:pPr>
      <w:r>
        <w:rPr>
          <w:rFonts w:hint="eastAsia" w:ascii="Times New Roman" w:hAnsi="Times New Roman"/>
          <w:b/>
        </w:rPr>
        <w:t>以研促产，打通从创新链到产业链的转化通道</w:t>
      </w:r>
    </w:p>
    <w:p>
      <w:pPr>
        <w:pStyle w:val="25"/>
        <w:rPr>
          <w:rFonts w:ascii="Times New Roman" w:hAnsi="Times New Roman"/>
        </w:rPr>
      </w:pPr>
      <w:r>
        <w:rPr>
          <w:rFonts w:hint="eastAsia" w:ascii="Times New Roman" w:hAnsi="Times New Roman"/>
        </w:rPr>
        <w:t>南阳师范学院坚持“产教融合、科教融汇”理念，以科研项目为依托，通过成果转化、平台赋能等方式，促进科研成果驱动产业升级。</w:t>
      </w:r>
    </w:p>
    <w:p>
      <w:pPr>
        <w:pStyle w:val="25"/>
        <w:rPr>
          <w:rFonts w:ascii="Times New Roman" w:hAnsi="Times New Roman"/>
        </w:rPr>
      </w:pPr>
      <w:r>
        <w:rPr>
          <w:rFonts w:hint="eastAsia" w:ascii="Times New Roman" w:hAnsi="Times New Roman"/>
        </w:rPr>
        <w:t>学校牵头申报并成功获批“光电信息与智能制造”河南省特需急需特色骨干学科群，建成河南省防爆与智能消防特种装备创新中心等8个省级科研平台，形成了覆盖智能制造、电子信息、人工智能、软件工程等领域的平台集群。近年来，该学科群累计承担国家自然科学基金、河南省重点研发专项等项目100余项，形成了“国家项目引领、省级课题支撑、横向应用协同”的多层次科研育人体系。</w:t>
      </w:r>
    </w:p>
    <w:p>
      <w:pPr>
        <w:pStyle w:val="25"/>
        <w:rPr>
          <w:rFonts w:ascii="Times New Roman" w:hAnsi="Times New Roman"/>
        </w:rPr>
      </w:pPr>
      <w:r>
        <w:rPr>
          <w:rFonts w:hint="eastAsia" w:ascii="Times New Roman" w:hAnsi="Times New Roman"/>
        </w:rPr>
        <w:t>在科研项目支撑下，学生深度参与从理论探索、技术研发到工程实现的全链条创新过程，参与发表论文120余篇，授权发明专利50余件。学生在各类学科竞赛中获省级以上奖项300余项，累计为行业定向培养高素质应用型人才420余名，积极服务南阳打造“中国防爆之都”和“全球防爆谷”。生命科学学院围绕畜禽健康养殖，建成河南省畜禽保健品工程技术研究中心等9个省级平台。近年来，生命科学学院累计承担国家及省部级项目60余项，学生参与发表论文300余篇，授权发明专利60余件，学生在各类学科竞赛中获省级以上奖项200余项。毕业生王阿辉创业开办河南小肥猪农业科技有限公司，累计创收1.6亿元，带动就业2000余人，科研成果有效驱动了产业升级，形成了“以研促产”的孵化闭环。</w:t>
      </w:r>
    </w:p>
    <w:p>
      <w:pPr>
        <w:pStyle w:val="25"/>
        <w:ind w:firstLine="562"/>
        <w:rPr>
          <w:rFonts w:ascii="Times New Roman" w:hAnsi="Times New Roman"/>
          <w:b/>
        </w:rPr>
      </w:pPr>
      <w:r>
        <w:rPr>
          <w:rFonts w:hint="eastAsia" w:ascii="Times New Roman" w:hAnsi="Times New Roman"/>
          <w:b/>
        </w:rPr>
        <w:t>校企双聘，促进人才链与创新链、产业链深度对接</w:t>
      </w:r>
    </w:p>
    <w:p>
      <w:pPr>
        <w:pStyle w:val="25"/>
        <w:rPr>
          <w:rFonts w:ascii="Times New Roman" w:hAnsi="Times New Roman"/>
        </w:rPr>
      </w:pPr>
      <w:r>
        <w:rPr>
          <w:rFonts w:hint="eastAsia" w:ascii="Times New Roman" w:hAnsi="Times New Roman"/>
        </w:rPr>
        <w:t>围绕区域应用型高水平大学建设目标，南阳师范学院积极探索符合自身定位的人才发展路径。2026年1月，学校孔伟光博士与南阳天华集团共同签署“校企双聘”协议，开启了“校企双聘”人才发展模式的实践探索。校企双方共同制定人才标准、共同分担引才成本，该模式解除了人才的后顾之忧，也有效提升了高校科技人才深入企业一线的积极性。以学校化学与制药工程学院“光电绿色催化与药物合成”团队为例，通过“校企双聘”，其下沉企业一线研发的磺胺嘧啶生产工艺，每年为南阳天华集团创造利润1000余万元。人才的双向流动，打破了学校与企业之间对接的“围墙”。</w:t>
      </w:r>
    </w:p>
    <w:p>
      <w:pPr>
        <w:pStyle w:val="25"/>
        <w:rPr>
          <w:rFonts w:ascii="Times New Roman" w:hAnsi="Times New Roman"/>
        </w:rPr>
      </w:pPr>
      <w:r>
        <w:rPr>
          <w:rFonts w:hint="eastAsia" w:ascii="Times New Roman" w:hAnsi="Times New Roman"/>
        </w:rPr>
        <w:t>从河南师范大学现代工学院的先行探索到南阳师范学院的创新实践，从“厚植师范底色”到“建设新工科人才培养平台”，南阳师范学院再次用实践证明：只要找准路径、持续深耕，地方师范院校同样能在新工科人才培养的赛道上跑出加速度、展现新作为，让“工科新苗”在师范沃土上茁壮成长。</w:t>
      </w:r>
    </w:p>
    <w:p>
      <w:pPr>
        <w:pStyle w:val="25"/>
        <w:rPr>
          <w:rFonts w:ascii="Times New Roman" w:hAnsi="Times New Roman" w:cs="宋体"/>
        </w:rPr>
      </w:pPr>
      <w:r>
        <w:rPr>
          <w:rFonts w:hint="eastAsia" w:ascii="Times New Roman" w:hAnsi="Times New Roman"/>
        </w:rPr>
        <w:t>（摘编自《中国教育报》2026年0</w:t>
      </w:r>
      <w:r>
        <w:rPr>
          <w:rFonts w:ascii="Times New Roman" w:hAnsi="Times New Roman"/>
        </w:rPr>
        <w:t>4</w:t>
      </w:r>
      <w:r>
        <w:rPr>
          <w:rFonts w:hint="eastAsia" w:ascii="Times New Roman" w:hAnsi="Times New Roman"/>
        </w:rPr>
        <w:t>月</w:t>
      </w:r>
      <w:r>
        <w:rPr>
          <w:rFonts w:ascii="Times New Roman" w:hAnsi="Times New Roman"/>
        </w:rPr>
        <w:t>04</w:t>
      </w:r>
      <w:r>
        <w:rPr>
          <w:rFonts w:hint="eastAsia" w:ascii="Times New Roman" w:hAnsi="Times New Roman"/>
        </w:rPr>
        <w:t>日第0</w:t>
      </w:r>
      <w:r>
        <w:rPr>
          <w:rFonts w:ascii="Times New Roman" w:hAnsi="Times New Roman"/>
        </w:rPr>
        <w:t>4</w:t>
      </w:r>
      <w:r>
        <w:rPr>
          <w:rFonts w:hint="eastAsia" w:ascii="Times New Roman" w:hAnsi="Times New Roman"/>
        </w:rPr>
        <w:t>版</w:t>
      </w:r>
      <w:r>
        <w:rPr>
          <w:rFonts w:hint="eastAsia" w:ascii="Times New Roman" w:hAnsi="Times New Roman" w:cs="宋体"/>
        </w:rPr>
        <w:t>）</w:t>
      </w:r>
    </w:p>
    <w:p>
      <w:pPr>
        <w:pStyle w:val="24"/>
        <w:ind w:firstLine="643"/>
        <w:rPr>
          <w:rFonts w:hint="default" w:ascii="Times New Roman" w:hAnsi="Times New Roman" w:eastAsiaTheme="majorEastAsia" w:cstheme="majorEastAsia"/>
          <w:color w:val="auto"/>
        </w:rPr>
      </w:pPr>
      <w:bookmarkStart w:id="26" w:name="_Toc191329437"/>
      <w:bookmarkStart w:id="27" w:name="_Toc228304416"/>
      <w:r>
        <w:rPr>
          <w:rFonts w:ascii="Times New Roman" w:hAnsi="Times New Roman" w:eastAsiaTheme="majorEastAsia" w:cstheme="majorEastAsia"/>
          <w:color w:val="auto"/>
        </w:rPr>
        <w:sym w:font="Wingdings" w:char="F075"/>
      </w:r>
      <w:bookmarkEnd w:id="26"/>
      <w:r>
        <w:rPr>
          <w:rFonts w:ascii="Times New Roman" w:hAnsi="Times New Roman" w:eastAsiaTheme="majorEastAsia" w:cstheme="majorEastAsia"/>
          <w:color w:val="auto"/>
        </w:rPr>
        <w:t>江苏理工学院：为地方产业发展提供坚实人才支撑</w:t>
      </w:r>
      <w:bookmarkEnd w:id="27"/>
    </w:p>
    <w:p>
      <w:pPr>
        <w:pStyle w:val="25"/>
        <w:rPr>
          <w:rFonts w:ascii="Times New Roman" w:hAnsi="Times New Roman"/>
        </w:rPr>
      </w:pPr>
      <w:r>
        <w:rPr>
          <w:rFonts w:hint="eastAsia" w:ascii="Times New Roman" w:hAnsi="Times New Roman"/>
        </w:rPr>
        <w:t>高校工程人才培养存在“供需匹配度低、教学内容更新慢、校地合作落地难”三大难题。多年来，江苏理工学院以服务区域产业为己任，精准培育高素质应用型人才，为江苏常州新能源产业集群从“规模扩张”迈向“质量跃升”提供坚实的人才支撑，走出了一条校城共生、产教融合的特色发展之路。</w:t>
      </w:r>
    </w:p>
    <w:p>
      <w:pPr>
        <w:pStyle w:val="25"/>
        <w:rPr>
          <w:rFonts w:ascii="Times New Roman" w:hAnsi="Times New Roman"/>
        </w:rPr>
      </w:pPr>
      <w:r>
        <w:rPr>
          <w:rFonts w:hint="eastAsia" w:ascii="Times New Roman" w:hAnsi="Times New Roman"/>
        </w:rPr>
        <w:t>“地方高校的生命力，在于与地方发展同呼吸、共命运。”日前，江苏理工学院党委书记崔景贵表示，学校创新构建“三微赋能、六共协同”产教融合新模式，善用微校区、微专业、微课程，通过方案共制、平台共建、师资共融、教学共施、改革共推、职素共育，打造出可复制、可推广的产业人才培养方案。</w:t>
      </w:r>
    </w:p>
    <w:p>
      <w:pPr>
        <w:pStyle w:val="25"/>
        <w:rPr>
          <w:rFonts w:ascii="Times New Roman" w:hAnsi="Times New Roman"/>
        </w:rPr>
      </w:pPr>
      <w:r>
        <w:rPr>
          <w:rFonts w:hint="eastAsia" w:ascii="Times New Roman" w:hAnsi="Times New Roman"/>
        </w:rPr>
        <w:t>以“微”破局，该校精准重构产业人才供给体系，在常州高新区等产业集聚区共建6个“微校区”，把实验室建在生产线旁、课堂设于企业车间，打通产教融合“最后一公里”。</w:t>
      </w:r>
    </w:p>
    <w:p>
      <w:pPr>
        <w:pStyle w:val="25"/>
        <w:rPr>
          <w:rFonts w:ascii="Times New Roman" w:hAnsi="Times New Roman"/>
        </w:rPr>
      </w:pPr>
      <w:r>
        <w:rPr>
          <w:rFonts w:hint="eastAsia" w:ascii="Times New Roman" w:hAnsi="Times New Roman"/>
        </w:rPr>
        <w:t>2022届应用化学专业毕业生戚昊、材料成型及控制工程专业毕业生侯文达，正是这一模式的受益者。“在‘微校区’能全程接触动力电池生产全流程，毕业入职公司后，很快便能独立负责品控工作。”戚昊说。</w:t>
      </w:r>
    </w:p>
    <w:p>
      <w:pPr>
        <w:pStyle w:val="25"/>
        <w:rPr>
          <w:rFonts w:ascii="Times New Roman" w:hAnsi="Times New Roman"/>
        </w:rPr>
      </w:pPr>
      <w:r>
        <w:rPr>
          <w:rFonts w:hint="eastAsia" w:ascii="Times New Roman" w:hAnsi="Times New Roman"/>
        </w:rPr>
        <w:t>2025年，学校又将“微校区”模式拓展至江苏镇江高新区、江苏泰州姜堰经济开发区，与地方政府共建“江理工镇江微校区”和研究生实践基地，推动校地资源精准对接、双向赋能。</w:t>
      </w:r>
    </w:p>
    <w:p>
      <w:pPr>
        <w:pStyle w:val="25"/>
        <w:rPr>
          <w:rFonts w:ascii="Times New Roman" w:hAnsi="Times New Roman"/>
        </w:rPr>
      </w:pPr>
      <w:r>
        <w:rPr>
          <w:rFonts w:hint="eastAsia" w:ascii="Times New Roman" w:hAnsi="Times New Roman"/>
        </w:rPr>
        <w:t>针对新能源产业跨界融合趋势，学校面向电池回收、智能网联等新兴岗位，开设15个微专业，推行“主修专业+微专业”复合培养模式。2024届车辆工程专业毕业生沈锐，主修本专业的同时选修智能网联微专业，凭借双重技能优势顺利入职理想汽车常州基地，成为智能驾驶系统调试的重点培养人才。</w:t>
      </w:r>
    </w:p>
    <w:p>
      <w:pPr>
        <w:pStyle w:val="25"/>
        <w:rPr>
          <w:rFonts w:ascii="Times New Roman" w:hAnsi="Times New Roman"/>
        </w:rPr>
      </w:pPr>
      <w:r>
        <w:rPr>
          <w:rFonts w:hint="eastAsia" w:ascii="Times New Roman" w:hAnsi="Times New Roman"/>
        </w:rPr>
        <w:t>紧跟产业技术迭代，学校打造112门“小而精”微课程，建立“每年课程内容更新不低于20%、每两年模块全面迭代”的动态机制，让教学内容始终与产业前沿同频同步。此外，学校对标产业前沿需求，建立“岗位—能力—课程”映射网，构建全链条实践教学体系。</w:t>
      </w:r>
    </w:p>
    <w:p>
      <w:pPr>
        <w:pStyle w:val="25"/>
        <w:rPr>
          <w:rFonts w:ascii="Times New Roman" w:hAnsi="Times New Roman"/>
        </w:rPr>
      </w:pPr>
      <w:r>
        <w:rPr>
          <w:rFonts w:hint="eastAsia" w:ascii="Times New Roman" w:hAnsi="Times New Roman"/>
        </w:rPr>
        <w:t>依托省级重点产业学院——新能源汽车动力电池产业学院，该校深度对接行业龙头企业，引入104项企业真实研发项目，让学生从大一便参与实际产业研发。2023年，新能源汽车动力电池产业学院首届招收的近60名学生完成毕业设计，系统掌握了动力电池全产业链知识，多名学生被常州重点新能源企业录用。</w:t>
      </w:r>
    </w:p>
    <w:p>
      <w:pPr>
        <w:pStyle w:val="25"/>
        <w:rPr>
          <w:rFonts w:ascii="Times New Roman" w:hAnsi="Times New Roman"/>
        </w:rPr>
      </w:pPr>
      <w:r>
        <w:rPr>
          <w:rFonts w:hint="eastAsia" w:ascii="Times New Roman" w:hAnsi="Times New Roman"/>
        </w:rPr>
        <w:t>学校大力推进“一课双师”教学改革，80%的专任教师担任企业科技副总或驻企研发人员，与企业工程师联合开发227个动态项目案例库，协同开展75门项目化课程教学。2025年该校成立智能运载双创社团联盟，整合4个科技社团资源，引入首批5名企业导师入驻指导技术研发，重点攻关智能网联汽车感知系统、无人驾驶路径规划等6大产业课题。如今，学校课程项目化覆盖率已达90%，全方位夯实学生核心竞争力。</w:t>
      </w:r>
    </w:p>
    <w:p>
      <w:pPr>
        <w:pStyle w:val="25"/>
        <w:rPr>
          <w:rFonts w:ascii="Times New Roman" w:hAnsi="Times New Roman"/>
        </w:rPr>
      </w:pPr>
      <w:r>
        <w:rPr>
          <w:rFonts w:hint="eastAsia" w:ascii="Times New Roman" w:hAnsi="Times New Roman"/>
        </w:rPr>
        <w:t>据统计，该校40%以上毕业生服务于区域新能源行业，专业对口率超80%，毕业生5年内成长为技术管理骨干的比例逾60%。该校科创团队还深入江苏油田一线，自主研发打破国外垄断的烟火切割解卡技术，将技术难题转化为教学课题，让学生在实践中服务国家能源战略。</w:t>
      </w:r>
    </w:p>
    <w:p>
      <w:pPr>
        <w:pStyle w:val="25"/>
        <w:rPr>
          <w:rFonts w:ascii="Times New Roman" w:hAnsi="Times New Roman"/>
        </w:rPr>
      </w:pPr>
      <w:r>
        <w:rPr>
          <w:rFonts w:hint="eastAsia" w:ascii="Times New Roman" w:hAnsi="Times New Roman"/>
        </w:rPr>
        <w:t>“未来，学校将以‘双优’为抓手，不断深化产教融合改革，持续发挥人才引擎作用，为常州打造世界级新能源产业集群提供坚实人才支撑。”江苏理工学院党委副书记、校长戴国洪表示。</w:t>
      </w:r>
    </w:p>
    <w:p>
      <w:pPr>
        <w:pStyle w:val="25"/>
        <w:rPr>
          <w:rFonts w:ascii="Times New Roman" w:hAnsi="Times New Roman" w:cs="宋体"/>
        </w:rPr>
      </w:pPr>
      <w:r>
        <w:rPr>
          <w:rFonts w:hint="eastAsia" w:ascii="Times New Roman" w:hAnsi="Times New Roman"/>
        </w:rPr>
        <w:t>（摘编自《光明日报》202</w:t>
      </w:r>
      <w:r>
        <w:rPr>
          <w:rFonts w:ascii="Times New Roman" w:hAnsi="Times New Roman"/>
        </w:rPr>
        <w:t>6</w:t>
      </w:r>
      <w:r>
        <w:rPr>
          <w:rFonts w:hint="eastAsia" w:ascii="Times New Roman" w:hAnsi="Times New Roman"/>
        </w:rPr>
        <w:t>年</w:t>
      </w:r>
      <w:r>
        <w:rPr>
          <w:rFonts w:ascii="Times New Roman" w:hAnsi="Times New Roman"/>
        </w:rPr>
        <w:t>04</w:t>
      </w:r>
      <w:r>
        <w:rPr>
          <w:rFonts w:hint="eastAsia" w:ascii="Times New Roman" w:hAnsi="Times New Roman"/>
        </w:rPr>
        <w:t>月</w:t>
      </w:r>
      <w:r>
        <w:rPr>
          <w:rFonts w:ascii="Times New Roman" w:hAnsi="Times New Roman"/>
        </w:rPr>
        <w:t>07</w:t>
      </w:r>
      <w:r>
        <w:rPr>
          <w:rFonts w:hint="eastAsia" w:ascii="Times New Roman" w:hAnsi="Times New Roman"/>
        </w:rPr>
        <w:t>日第0</w:t>
      </w:r>
      <w:r>
        <w:rPr>
          <w:rFonts w:ascii="Times New Roman" w:hAnsi="Times New Roman"/>
        </w:rPr>
        <w:t>8</w:t>
      </w:r>
      <w:r>
        <w:rPr>
          <w:rFonts w:hint="eastAsia" w:ascii="Times New Roman" w:hAnsi="Times New Roman"/>
        </w:rPr>
        <w:t>版</w:t>
      </w:r>
      <w:r>
        <w:rPr>
          <w:rFonts w:hint="eastAsia" w:ascii="Times New Roman" w:hAnsi="Times New Roman" w:cs="宋体"/>
        </w:rPr>
        <w:t>）</w:t>
      </w:r>
    </w:p>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28" w:name="_Toc228304417"/>
      <w:r>
        <w:rPr>
          <w:rFonts w:ascii="Times New Roman" w:hAnsi="Times New Roman"/>
        </w:rPr>
        <w:t>【</w:t>
      </w:r>
      <w:r>
        <w:rPr>
          <w:rFonts w:hint="eastAsia" w:ascii="Times New Roman" w:hAnsi="Times New Roman"/>
        </w:rPr>
        <w:t>转型探索</w:t>
      </w:r>
      <w:r>
        <w:rPr>
          <w:rFonts w:ascii="Times New Roman" w:hAnsi="Times New Roman"/>
        </w:rPr>
        <w:t>】</w:t>
      </w:r>
      <w:bookmarkEnd w:id="28"/>
    </w:p>
    <w:p>
      <w:pPr>
        <w:pStyle w:val="25"/>
        <w:ind w:firstLine="0" w:firstLineChars="0"/>
        <w:jc w:val="center"/>
        <w:rPr>
          <w:rFonts w:ascii="Times New Roman" w:hAnsi="Times New Roman"/>
        </w:rPr>
      </w:pPr>
    </w:p>
    <w:p>
      <w:pPr>
        <w:pStyle w:val="24"/>
        <w:ind w:firstLine="643"/>
        <w:jc w:val="both"/>
        <w:rPr>
          <w:rFonts w:hint="default" w:ascii="Times New Roman" w:hAnsi="Times New Roman"/>
          <w:color w:val="auto"/>
        </w:rPr>
      </w:pPr>
      <w:bookmarkStart w:id="29" w:name="_Toc228304418"/>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中国教育报：应用型高校如何走好转型发展之路</w:t>
      </w:r>
      <w:bookmarkEnd w:id="29"/>
    </w:p>
    <w:p>
      <w:pPr>
        <w:pStyle w:val="25"/>
        <w:rPr>
          <w:rFonts w:ascii="Times New Roman" w:hAnsi="Times New Roman"/>
        </w:rPr>
      </w:pPr>
      <w:r>
        <w:rPr>
          <w:rFonts w:hint="eastAsia" w:ascii="Times New Roman" w:hAnsi="Times New Roman"/>
        </w:rPr>
        <w:t>“十五五”规划纲要对高等教育改革发展提出了新的更高要求。应用型高校如何在“十五五”期间走好转型发展之路？新西兰著名教育家路易·艾黎倡导的“手脑并用、创造分析”教育思想，强调理论与实践的统一、知识与能力的结合、创新与批判的融合，对应用型高校转型发展具有鲜明的指导价值。</w:t>
      </w:r>
    </w:p>
    <w:p>
      <w:pPr>
        <w:pStyle w:val="25"/>
        <w:ind w:firstLine="562"/>
        <w:rPr>
          <w:rFonts w:ascii="Times New Roman" w:hAnsi="Times New Roman"/>
          <w:b/>
        </w:rPr>
      </w:pPr>
      <w:r>
        <w:rPr>
          <w:rFonts w:hint="eastAsia" w:ascii="Times New Roman" w:hAnsi="Times New Roman"/>
          <w:b/>
        </w:rPr>
        <w:t>解析应用型高校发展瓶颈</w:t>
      </w:r>
    </w:p>
    <w:p>
      <w:pPr>
        <w:pStyle w:val="25"/>
        <w:rPr>
          <w:rFonts w:ascii="Times New Roman" w:hAnsi="Times New Roman"/>
        </w:rPr>
      </w:pPr>
      <w:r>
        <w:rPr>
          <w:rFonts w:hint="eastAsia" w:ascii="Times New Roman" w:hAnsi="Times New Roman"/>
        </w:rPr>
        <w:t>路易·艾黎提出的“手脑并用、创造分析”教育思想，蕴含着务实精神与创新意识，是破解当前应用型高校定位模糊、产教融合不深、转型发展不足等问题的重要参考。当前，应用型高校办学育人与产业需求脱节的问题尚未得到根本解决，其本质是“手”与“脑”的分离。“课堂学的技术与岗位实际不适配，上岗还要重新培训”等现象反映出应用型人才培养的深层次矛盾，即理论教学与实践训练未能有机融合，学生分析问题和动手解决问题的能力培养失衡。</w:t>
      </w:r>
    </w:p>
    <w:p>
      <w:pPr>
        <w:pStyle w:val="25"/>
        <w:rPr>
          <w:rFonts w:ascii="Times New Roman" w:hAnsi="Times New Roman"/>
        </w:rPr>
      </w:pPr>
      <w:r>
        <w:rPr>
          <w:rFonts w:hint="eastAsia" w:ascii="Times New Roman" w:hAnsi="Times New Roman"/>
        </w:rPr>
        <w:t>以往校企合作常停留在浅层对接，核心问题是未形成利益共生机制，缺乏基于共同创造和价值分析的深度融合，导致企业参与办学的动力不足，合作仅停留在表面。</w:t>
      </w:r>
    </w:p>
    <w:p>
      <w:pPr>
        <w:pStyle w:val="25"/>
        <w:rPr>
          <w:rFonts w:ascii="Times New Roman" w:hAnsi="Times New Roman"/>
        </w:rPr>
      </w:pPr>
      <w:r>
        <w:rPr>
          <w:rFonts w:hint="eastAsia" w:ascii="Times New Roman" w:hAnsi="Times New Roman"/>
        </w:rPr>
        <w:t>应用型高校要完整准确全面贯彻新发展理念，将“手脑并用”作为育人基本路径，把“创造分析”作为人才培养质量标尺，有效构建符合中国式现代化要求的高素质应用型人才培养体系。</w:t>
      </w:r>
    </w:p>
    <w:p>
      <w:pPr>
        <w:pStyle w:val="25"/>
        <w:ind w:firstLine="562"/>
        <w:rPr>
          <w:rFonts w:ascii="Times New Roman" w:hAnsi="Times New Roman"/>
          <w:b/>
        </w:rPr>
      </w:pPr>
      <w:r>
        <w:rPr>
          <w:rFonts w:hint="eastAsia" w:ascii="Times New Roman" w:hAnsi="Times New Roman"/>
          <w:b/>
        </w:rPr>
        <w:t>践行“手脑并用”产教融合模式</w:t>
      </w:r>
    </w:p>
    <w:p>
      <w:pPr>
        <w:pStyle w:val="25"/>
        <w:rPr>
          <w:rFonts w:ascii="Times New Roman" w:hAnsi="Times New Roman"/>
        </w:rPr>
      </w:pPr>
      <w:r>
        <w:rPr>
          <w:rFonts w:hint="eastAsia" w:ascii="Times New Roman" w:hAnsi="Times New Roman"/>
        </w:rPr>
        <w:t>一方面，建立产教融合机制，深化协同育人。如，兰州城市学院制定《产业学院建设暂行办法》，系统推进校企协同育人实践。学校推动软件工程、通信工程等7个合作办学专业的企业方深度参与人才培养全过程，建立健全长效机制；出台《校企合作专业教学管理暂行办法》《校企合作办学绩效评价考核办法》，持续提升协同育人的质量与实效；共建教育部—中兴通讯ICT产教融合创新基地；积极参与“全国风光储”“智能汽车”等产教融合共同体，有效促进了教育链、人才链与产业链紧密衔接。此外，学校创新教学组织形式，以“虚实融合筑基+实战淬炼提质”为核心，探索“数智课堂+企业真实场景联动”的育人路径。这种双场景联动模式破解了产教脱节和工匠培育的难题，为学生提供了“脑”思考与“手”实践正向循环的学习体验，培养了学生的创造精神和分析能力。</w:t>
      </w:r>
    </w:p>
    <w:p>
      <w:pPr>
        <w:pStyle w:val="25"/>
        <w:rPr>
          <w:rFonts w:ascii="Times New Roman" w:hAnsi="Times New Roman"/>
        </w:rPr>
      </w:pPr>
      <w:r>
        <w:rPr>
          <w:rFonts w:hint="eastAsia" w:ascii="Times New Roman" w:hAnsi="Times New Roman"/>
        </w:rPr>
        <w:t>另一方面，构建校企命运共同体，破解产教融合浅层化困境。如，学校探索构建“一核心、四对接、五跃升”育人体系，全面推进教育教学改革创新。学校以“学生未来成长力”为核心，对接国家战略布局、区域产业发展、行业技术变革、岗位能力需求，全力推动专业结构重组跃升、培养体系质量跃升、融合育人成效跃升、实践体系重塑跃升、质量文化重建跃升，体现了“手脑并用”的系统化实践；以“校内学院+现代产业学院”协同架构为切入点，依托甘肃“14+1”和兰州“七大”全产业链生态，协同打造融合平台，为学生提供了理论学习与动手实践交替进行、创造能力与分析能力同步提升的成长环境，实现了人才培养与产业需求的无缝对接，让学生在真实生产环境中实现“手脑并用”。</w:t>
      </w:r>
    </w:p>
    <w:p>
      <w:pPr>
        <w:pStyle w:val="25"/>
        <w:ind w:firstLine="562"/>
        <w:rPr>
          <w:rFonts w:ascii="Times New Roman" w:hAnsi="Times New Roman"/>
          <w:b/>
        </w:rPr>
      </w:pPr>
      <w:r>
        <w:rPr>
          <w:rFonts w:hint="eastAsia" w:ascii="Times New Roman" w:hAnsi="Times New Roman"/>
          <w:b/>
        </w:rPr>
        <w:t>构建“创造分析”应用型教育生态</w:t>
      </w:r>
    </w:p>
    <w:p>
      <w:pPr>
        <w:pStyle w:val="25"/>
        <w:rPr>
          <w:rFonts w:ascii="Times New Roman" w:hAnsi="Times New Roman"/>
        </w:rPr>
      </w:pPr>
      <w:r>
        <w:rPr>
          <w:rFonts w:hint="eastAsia" w:ascii="Times New Roman" w:hAnsi="Times New Roman"/>
        </w:rPr>
        <w:t>推动办学定位转型，强化应用型内涵建设。应用型高校可将“手脑并用、创造分析”的办学定位融入日常，强化应用型办学理念，推进人才培养模式改革创新。要突出应用型人才培养目标，健全应用型人才培养体系，实现人才培养由重知识传授向重实践应用的转变；要优化学科专业结构，构建以服务区域经济社会发展为导向的学科专业动态优化调整机制，推动应用型高校学科由理论型向应用型转变。</w:t>
      </w:r>
    </w:p>
    <w:p>
      <w:pPr>
        <w:pStyle w:val="25"/>
        <w:rPr>
          <w:rFonts w:ascii="Times New Roman" w:hAnsi="Times New Roman"/>
        </w:rPr>
      </w:pPr>
      <w:r>
        <w:rPr>
          <w:rFonts w:hint="eastAsia" w:ascii="Times New Roman" w:hAnsi="Times New Roman"/>
        </w:rPr>
        <w:t>应用型高校可基于“创造分析”方法，积极发展新兴应用学科和产教融合型专业。首先，深化教师教学转型，加强“双师型”教师队伍建设。大力开展以问题为导向的项目教学、案例教学、工作过程导向教学，促进应用型高校课程教学内容由重知识传授向重实践应用转变；教师教学方式由讲授式为主向参与式为主转变，教师既要在课堂上传道授业，又要在实践中示范指导，真正成为“手脑并用”的引领者。其次，创新科研评价机制，突出应用研究导向。将专注于学术共同体的学术影响评价转向致力于凸显服务经济社会发展的作用和效益，重点评价社会贡献、实用价值和支撑人才培养情况，认可产品、标准、材料、技术、工艺、服务等更具实践特征的成果产出，鼓励师生在“创造分析”中服务社会。</w:t>
      </w:r>
    </w:p>
    <w:p>
      <w:pPr>
        <w:pStyle w:val="25"/>
        <w:ind w:firstLine="562"/>
        <w:rPr>
          <w:rFonts w:ascii="Times New Roman" w:hAnsi="Times New Roman"/>
          <w:b/>
        </w:rPr>
      </w:pPr>
      <w:r>
        <w:rPr>
          <w:rFonts w:hint="eastAsia" w:ascii="Times New Roman" w:hAnsi="Times New Roman"/>
          <w:b/>
        </w:rPr>
        <w:t>谋划转型发展新蓝图</w:t>
      </w:r>
    </w:p>
    <w:p>
      <w:pPr>
        <w:pStyle w:val="25"/>
        <w:rPr>
          <w:rFonts w:ascii="Times New Roman" w:hAnsi="Times New Roman"/>
        </w:rPr>
      </w:pPr>
      <w:r>
        <w:rPr>
          <w:rFonts w:hint="eastAsia" w:ascii="Times New Roman" w:hAnsi="Times New Roman"/>
        </w:rPr>
        <w:t>坚持顶层设计与基层探索相结合。要注重从战略环境分析中确定目标和战略行动。应用型高校可聚焦“三个统筹”，即统筹学校共性与行业特性、统筹传统优势与新兴赛道、统筹内部治理与外部协同，基于深厚的行业底蕴和学校鲜明的学科优势，成为国家、区域及行业产业创新发展的重要支撑，在“创造分析”中找准发展定位。</w:t>
      </w:r>
    </w:p>
    <w:p>
      <w:pPr>
        <w:pStyle w:val="25"/>
        <w:rPr>
          <w:rFonts w:ascii="Times New Roman" w:hAnsi="Times New Roman"/>
        </w:rPr>
      </w:pPr>
      <w:r>
        <w:rPr>
          <w:rFonts w:hint="eastAsia" w:ascii="Times New Roman" w:hAnsi="Times New Roman"/>
        </w:rPr>
        <w:t>完善规划体系，强化实施机制。应用型高校可把规划作为制度驱动的体系重构突破口，建立“总体规划引领、专项规划支撑、院系规划落地”的规划体系，将深化教育评价改革有机融入规划编制与实施过程，将行业贡献度、成果转化率、社会服务成效等纳入评价指标，形成激励“手脑并用”的评价导向。</w:t>
      </w:r>
    </w:p>
    <w:p>
      <w:pPr>
        <w:pStyle w:val="25"/>
        <w:rPr>
          <w:rFonts w:ascii="Times New Roman" w:hAnsi="Times New Roman"/>
        </w:rPr>
      </w:pPr>
      <w:r>
        <w:rPr>
          <w:rFonts w:hint="eastAsia" w:ascii="Times New Roman" w:hAnsi="Times New Roman"/>
        </w:rPr>
        <w:t>加强组织保障，确保规划落地。“十五五”规划编制与实施方案同步制定，将战略管理从理念深化</w:t>
      </w:r>
      <w:r>
        <w:rPr>
          <w:rFonts w:hint="eastAsia" w:ascii="Times New Roman" w:hAnsi="Times New Roman"/>
          <w:lang w:eastAsia="zh-CN"/>
        </w:rPr>
        <w:t>到</w:t>
      </w:r>
      <w:r>
        <w:rPr>
          <w:rFonts w:hint="eastAsia" w:ascii="Times New Roman" w:hAnsi="Times New Roman"/>
        </w:rPr>
        <w:t>实践层面；建立资源配置机制，资源配置协同规划实施，人财物等重要资源向规划发展的重点方向倾斜，通过资源配置撬动改革发展；健全规划监测评估和动态调整机制，将规划实施情况纳入绩效考核体系，确保各项目标任务落到实处。</w:t>
      </w:r>
    </w:p>
    <w:p>
      <w:pPr>
        <w:pStyle w:val="25"/>
        <w:rPr>
          <w:rFonts w:ascii="Times New Roman" w:hAnsi="Times New Roman" w:cs="宋体"/>
        </w:rPr>
      </w:pPr>
      <w:r>
        <w:rPr>
          <w:rFonts w:hint="eastAsia" w:ascii="Times New Roman" w:hAnsi="Times New Roman"/>
        </w:rPr>
        <w:t>（摘编自《中国教育报》202</w:t>
      </w:r>
      <w:r>
        <w:rPr>
          <w:rFonts w:ascii="Times New Roman" w:hAnsi="Times New Roman"/>
        </w:rPr>
        <w:t>6</w:t>
      </w:r>
      <w:r>
        <w:rPr>
          <w:rFonts w:hint="eastAsia" w:ascii="Times New Roman" w:hAnsi="Times New Roman"/>
        </w:rPr>
        <w:t>年</w:t>
      </w:r>
      <w:r>
        <w:rPr>
          <w:rFonts w:ascii="Times New Roman" w:hAnsi="Times New Roman"/>
        </w:rPr>
        <w:t>04</w:t>
      </w:r>
      <w:r>
        <w:rPr>
          <w:rFonts w:hint="eastAsia" w:ascii="Times New Roman" w:hAnsi="Times New Roman"/>
        </w:rPr>
        <w:t>月</w:t>
      </w:r>
      <w:r>
        <w:rPr>
          <w:rFonts w:ascii="Times New Roman" w:hAnsi="Times New Roman"/>
        </w:rPr>
        <w:t>01</w:t>
      </w:r>
      <w:r>
        <w:rPr>
          <w:rFonts w:hint="eastAsia" w:ascii="Times New Roman" w:hAnsi="Times New Roman"/>
        </w:rPr>
        <w:t>日</w:t>
      </w:r>
      <w:bookmarkStart w:id="30" w:name="_GoBack"/>
      <w:bookmarkEnd w:id="30"/>
      <w:r>
        <w:rPr>
          <w:rFonts w:hint="eastAsia" w:ascii="Times New Roman" w:hAnsi="Times New Roman"/>
        </w:rPr>
        <w:t>第</w:t>
      </w:r>
      <w:r>
        <w:rPr>
          <w:rFonts w:ascii="Times New Roman" w:hAnsi="Times New Roman"/>
        </w:rPr>
        <w:t>06</w:t>
      </w:r>
      <w:r>
        <w:rPr>
          <w:rFonts w:hint="eastAsia" w:ascii="Times New Roman" w:hAnsi="Times New Roman"/>
        </w:rPr>
        <w:t>版</w:t>
      </w:r>
      <w:r>
        <w:rPr>
          <w:rFonts w:hint="eastAsia" w:ascii="Times New Roman" w:hAnsi="Times New Roman" w:cs="宋体"/>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LOoBQBBAWVzLgAAAA=="/>
    <w:docVar w:name="commondata" w:val="eyJoZGlkIjoiOTc1YmQ4NzVkNzBhYzFlYTU5ZDgyZWQ1Njg3OTBlMzc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3558F"/>
    <w:rsid w:val="00041DFD"/>
    <w:rsid w:val="000444D4"/>
    <w:rsid w:val="00046710"/>
    <w:rsid w:val="00050952"/>
    <w:rsid w:val="00052EBC"/>
    <w:rsid w:val="000542CA"/>
    <w:rsid w:val="000564F5"/>
    <w:rsid w:val="00057D49"/>
    <w:rsid w:val="00060A03"/>
    <w:rsid w:val="00062FFE"/>
    <w:rsid w:val="00064AA1"/>
    <w:rsid w:val="000650A5"/>
    <w:rsid w:val="000655B0"/>
    <w:rsid w:val="00066046"/>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5A9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62E"/>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682C"/>
    <w:rsid w:val="000C7F75"/>
    <w:rsid w:val="000D0184"/>
    <w:rsid w:val="000D04AB"/>
    <w:rsid w:val="000D065B"/>
    <w:rsid w:val="000D067A"/>
    <w:rsid w:val="000D2517"/>
    <w:rsid w:val="000D360F"/>
    <w:rsid w:val="000D3C20"/>
    <w:rsid w:val="000D47CC"/>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1CD0"/>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668F"/>
    <w:rsid w:val="001D7B3B"/>
    <w:rsid w:val="001D7E85"/>
    <w:rsid w:val="001E0737"/>
    <w:rsid w:val="001E19E6"/>
    <w:rsid w:val="001E3D49"/>
    <w:rsid w:val="001E4873"/>
    <w:rsid w:val="001E4FBE"/>
    <w:rsid w:val="001E6351"/>
    <w:rsid w:val="001E73B7"/>
    <w:rsid w:val="001E7D16"/>
    <w:rsid w:val="001F07E6"/>
    <w:rsid w:val="001F2AEC"/>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0FE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30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1174"/>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0D63"/>
    <w:rsid w:val="003310AF"/>
    <w:rsid w:val="00331E10"/>
    <w:rsid w:val="00332E55"/>
    <w:rsid w:val="003333A1"/>
    <w:rsid w:val="00333B35"/>
    <w:rsid w:val="00333CD5"/>
    <w:rsid w:val="00333E78"/>
    <w:rsid w:val="00333F69"/>
    <w:rsid w:val="00335F80"/>
    <w:rsid w:val="00341FCA"/>
    <w:rsid w:val="00342846"/>
    <w:rsid w:val="003440C0"/>
    <w:rsid w:val="0035100E"/>
    <w:rsid w:val="00352066"/>
    <w:rsid w:val="003536F7"/>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16E4"/>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672AB"/>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1C30"/>
    <w:rsid w:val="004A23A0"/>
    <w:rsid w:val="004A2580"/>
    <w:rsid w:val="004A28D5"/>
    <w:rsid w:val="004A3495"/>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E60"/>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516"/>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3BF"/>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5E82"/>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1CCC"/>
    <w:rsid w:val="00612E1F"/>
    <w:rsid w:val="00613616"/>
    <w:rsid w:val="00614021"/>
    <w:rsid w:val="00616C4A"/>
    <w:rsid w:val="006171A9"/>
    <w:rsid w:val="0062027B"/>
    <w:rsid w:val="00620753"/>
    <w:rsid w:val="00620985"/>
    <w:rsid w:val="00620BAC"/>
    <w:rsid w:val="00621A81"/>
    <w:rsid w:val="006227AD"/>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49E0"/>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02B"/>
    <w:rsid w:val="006845D1"/>
    <w:rsid w:val="006853CE"/>
    <w:rsid w:val="00686D46"/>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3F2"/>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6438"/>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7F0"/>
    <w:rsid w:val="00722BDF"/>
    <w:rsid w:val="007240EB"/>
    <w:rsid w:val="00724BE7"/>
    <w:rsid w:val="0072786F"/>
    <w:rsid w:val="00727B06"/>
    <w:rsid w:val="007300D6"/>
    <w:rsid w:val="00731E49"/>
    <w:rsid w:val="007323D9"/>
    <w:rsid w:val="00734751"/>
    <w:rsid w:val="00735058"/>
    <w:rsid w:val="00735385"/>
    <w:rsid w:val="007369D0"/>
    <w:rsid w:val="007372E8"/>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5D0F"/>
    <w:rsid w:val="00796348"/>
    <w:rsid w:val="007A0548"/>
    <w:rsid w:val="007A074D"/>
    <w:rsid w:val="007A0AF7"/>
    <w:rsid w:val="007A2B44"/>
    <w:rsid w:val="007A39A4"/>
    <w:rsid w:val="007A4A6C"/>
    <w:rsid w:val="007A4CC6"/>
    <w:rsid w:val="007A4CEE"/>
    <w:rsid w:val="007A760A"/>
    <w:rsid w:val="007B0D18"/>
    <w:rsid w:val="007B22C1"/>
    <w:rsid w:val="007B3C5C"/>
    <w:rsid w:val="007B3FAD"/>
    <w:rsid w:val="007B461D"/>
    <w:rsid w:val="007B4D1F"/>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0EB"/>
    <w:rsid w:val="007D5D40"/>
    <w:rsid w:val="007D5D7D"/>
    <w:rsid w:val="007D6934"/>
    <w:rsid w:val="007D7605"/>
    <w:rsid w:val="007D7B04"/>
    <w:rsid w:val="007D7ED6"/>
    <w:rsid w:val="007E3C33"/>
    <w:rsid w:val="007E3CBD"/>
    <w:rsid w:val="007E4E71"/>
    <w:rsid w:val="007E5D1A"/>
    <w:rsid w:val="007E62E9"/>
    <w:rsid w:val="007E690B"/>
    <w:rsid w:val="007E6992"/>
    <w:rsid w:val="007E6EF2"/>
    <w:rsid w:val="007E72B1"/>
    <w:rsid w:val="007F09F8"/>
    <w:rsid w:val="007F0FB2"/>
    <w:rsid w:val="007F1ACD"/>
    <w:rsid w:val="007F1E5E"/>
    <w:rsid w:val="007F3333"/>
    <w:rsid w:val="007F3F46"/>
    <w:rsid w:val="007F4AD7"/>
    <w:rsid w:val="007F5F22"/>
    <w:rsid w:val="007F62B2"/>
    <w:rsid w:val="007F6533"/>
    <w:rsid w:val="007F6748"/>
    <w:rsid w:val="00801546"/>
    <w:rsid w:val="00802033"/>
    <w:rsid w:val="00802069"/>
    <w:rsid w:val="008026E5"/>
    <w:rsid w:val="00802D59"/>
    <w:rsid w:val="00805339"/>
    <w:rsid w:val="00805EC4"/>
    <w:rsid w:val="008068F8"/>
    <w:rsid w:val="00806C6A"/>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19AE"/>
    <w:rsid w:val="0087321B"/>
    <w:rsid w:val="00874DF8"/>
    <w:rsid w:val="00876907"/>
    <w:rsid w:val="00882292"/>
    <w:rsid w:val="00882B15"/>
    <w:rsid w:val="00885B68"/>
    <w:rsid w:val="00885F29"/>
    <w:rsid w:val="00886D74"/>
    <w:rsid w:val="008905FB"/>
    <w:rsid w:val="00890E0B"/>
    <w:rsid w:val="00890E54"/>
    <w:rsid w:val="00895486"/>
    <w:rsid w:val="00897E2B"/>
    <w:rsid w:val="008A01EC"/>
    <w:rsid w:val="008A08F5"/>
    <w:rsid w:val="008A4556"/>
    <w:rsid w:val="008A7904"/>
    <w:rsid w:val="008A7A6D"/>
    <w:rsid w:val="008A7BD8"/>
    <w:rsid w:val="008A7C1E"/>
    <w:rsid w:val="008B03AD"/>
    <w:rsid w:val="008B1024"/>
    <w:rsid w:val="008B25A1"/>
    <w:rsid w:val="008B2AC8"/>
    <w:rsid w:val="008B3FBA"/>
    <w:rsid w:val="008B5598"/>
    <w:rsid w:val="008B5F20"/>
    <w:rsid w:val="008B7031"/>
    <w:rsid w:val="008B73BC"/>
    <w:rsid w:val="008C0F69"/>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46DDD"/>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55E3"/>
    <w:rsid w:val="00976780"/>
    <w:rsid w:val="00977759"/>
    <w:rsid w:val="00980F32"/>
    <w:rsid w:val="009838A5"/>
    <w:rsid w:val="009855A0"/>
    <w:rsid w:val="00992FFF"/>
    <w:rsid w:val="00995CD8"/>
    <w:rsid w:val="00996335"/>
    <w:rsid w:val="00996B61"/>
    <w:rsid w:val="0099746A"/>
    <w:rsid w:val="00997FDE"/>
    <w:rsid w:val="009A07C1"/>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6CA4"/>
    <w:rsid w:val="009C7066"/>
    <w:rsid w:val="009C77D7"/>
    <w:rsid w:val="009D0017"/>
    <w:rsid w:val="009D0B0E"/>
    <w:rsid w:val="009D22BF"/>
    <w:rsid w:val="009D3EBA"/>
    <w:rsid w:val="009D44C3"/>
    <w:rsid w:val="009D6A44"/>
    <w:rsid w:val="009D7881"/>
    <w:rsid w:val="009E007A"/>
    <w:rsid w:val="009E0D88"/>
    <w:rsid w:val="009E188E"/>
    <w:rsid w:val="009E1CCF"/>
    <w:rsid w:val="009E270D"/>
    <w:rsid w:val="009E3862"/>
    <w:rsid w:val="009E4BC4"/>
    <w:rsid w:val="009E4C1F"/>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37B60"/>
    <w:rsid w:val="00A40938"/>
    <w:rsid w:val="00A419C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077F"/>
    <w:rsid w:val="00A93426"/>
    <w:rsid w:val="00A9377D"/>
    <w:rsid w:val="00A93ED8"/>
    <w:rsid w:val="00A93EFB"/>
    <w:rsid w:val="00A952A8"/>
    <w:rsid w:val="00A95D74"/>
    <w:rsid w:val="00A9608F"/>
    <w:rsid w:val="00A960BC"/>
    <w:rsid w:val="00A9646B"/>
    <w:rsid w:val="00A96B3D"/>
    <w:rsid w:val="00A973EF"/>
    <w:rsid w:val="00A977DB"/>
    <w:rsid w:val="00AA0E6C"/>
    <w:rsid w:val="00AA2A2F"/>
    <w:rsid w:val="00AA5008"/>
    <w:rsid w:val="00AA5115"/>
    <w:rsid w:val="00AA6782"/>
    <w:rsid w:val="00AB04AD"/>
    <w:rsid w:val="00AB10EC"/>
    <w:rsid w:val="00AB2A7A"/>
    <w:rsid w:val="00AB3886"/>
    <w:rsid w:val="00AB4595"/>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188"/>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04"/>
    <w:rsid w:val="00B3521B"/>
    <w:rsid w:val="00B3574D"/>
    <w:rsid w:val="00B37C4C"/>
    <w:rsid w:val="00B37CE9"/>
    <w:rsid w:val="00B406B2"/>
    <w:rsid w:val="00B409B2"/>
    <w:rsid w:val="00B411F0"/>
    <w:rsid w:val="00B41B73"/>
    <w:rsid w:val="00B41F2E"/>
    <w:rsid w:val="00B44484"/>
    <w:rsid w:val="00B44986"/>
    <w:rsid w:val="00B44C6C"/>
    <w:rsid w:val="00B45A4E"/>
    <w:rsid w:val="00B46D59"/>
    <w:rsid w:val="00B474C1"/>
    <w:rsid w:val="00B47A05"/>
    <w:rsid w:val="00B47C1A"/>
    <w:rsid w:val="00B501A9"/>
    <w:rsid w:val="00B50EE9"/>
    <w:rsid w:val="00B522A5"/>
    <w:rsid w:val="00B53686"/>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0D3"/>
    <w:rsid w:val="00B878BF"/>
    <w:rsid w:val="00B87CB7"/>
    <w:rsid w:val="00B90336"/>
    <w:rsid w:val="00B90D33"/>
    <w:rsid w:val="00B918E2"/>
    <w:rsid w:val="00B91DF5"/>
    <w:rsid w:val="00B93924"/>
    <w:rsid w:val="00B93FD8"/>
    <w:rsid w:val="00B945C3"/>
    <w:rsid w:val="00B94885"/>
    <w:rsid w:val="00B94BB7"/>
    <w:rsid w:val="00B94EB2"/>
    <w:rsid w:val="00B969AE"/>
    <w:rsid w:val="00B979A4"/>
    <w:rsid w:val="00BA015D"/>
    <w:rsid w:val="00BA0C05"/>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C6C27"/>
    <w:rsid w:val="00BD10AE"/>
    <w:rsid w:val="00BD2524"/>
    <w:rsid w:val="00BD2CCF"/>
    <w:rsid w:val="00BD4670"/>
    <w:rsid w:val="00BD497D"/>
    <w:rsid w:val="00BD5745"/>
    <w:rsid w:val="00BD5BF2"/>
    <w:rsid w:val="00BD6A88"/>
    <w:rsid w:val="00BD6C8F"/>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05"/>
    <w:rsid w:val="00C14CDB"/>
    <w:rsid w:val="00C155C8"/>
    <w:rsid w:val="00C179A4"/>
    <w:rsid w:val="00C20C71"/>
    <w:rsid w:val="00C244A6"/>
    <w:rsid w:val="00C268EE"/>
    <w:rsid w:val="00C275B7"/>
    <w:rsid w:val="00C27D01"/>
    <w:rsid w:val="00C31333"/>
    <w:rsid w:val="00C328EE"/>
    <w:rsid w:val="00C33099"/>
    <w:rsid w:val="00C343D8"/>
    <w:rsid w:val="00C35616"/>
    <w:rsid w:val="00C36031"/>
    <w:rsid w:val="00C369C9"/>
    <w:rsid w:val="00C37C8B"/>
    <w:rsid w:val="00C37E12"/>
    <w:rsid w:val="00C4309B"/>
    <w:rsid w:val="00C43EAE"/>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B7EF7"/>
    <w:rsid w:val="00CC029A"/>
    <w:rsid w:val="00CC04F3"/>
    <w:rsid w:val="00CC09A3"/>
    <w:rsid w:val="00CC0ED0"/>
    <w:rsid w:val="00CC186D"/>
    <w:rsid w:val="00CC2646"/>
    <w:rsid w:val="00CC5AD2"/>
    <w:rsid w:val="00CC6521"/>
    <w:rsid w:val="00CD0E36"/>
    <w:rsid w:val="00CD227A"/>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1A35"/>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2836"/>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1F48"/>
    <w:rsid w:val="00D6278D"/>
    <w:rsid w:val="00D627AA"/>
    <w:rsid w:val="00D63446"/>
    <w:rsid w:val="00D64F93"/>
    <w:rsid w:val="00D6543F"/>
    <w:rsid w:val="00D65AF2"/>
    <w:rsid w:val="00D65FAB"/>
    <w:rsid w:val="00D70381"/>
    <w:rsid w:val="00D71BA2"/>
    <w:rsid w:val="00D72FDA"/>
    <w:rsid w:val="00D73A72"/>
    <w:rsid w:val="00D74150"/>
    <w:rsid w:val="00D74183"/>
    <w:rsid w:val="00D748AC"/>
    <w:rsid w:val="00D753DB"/>
    <w:rsid w:val="00D75F35"/>
    <w:rsid w:val="00D76B50"/>
    <w:rsid w:val="00D76D73"/>
    <w:rsid w:val="00D76EE1"/>
    <w:rsid w:val="00D778BA"/>
    <w:rsid w:val="00D825A7"/>
    <w:rsid w:val="00D83422"/>
    <w:rsid w:val="00D852D8"/>
    <w:rsid w:val="00D85DDB"/>
    <w:rsid w:val="00D87473"/>
    <w:rsid w:val="00D91BBE"/>
    <w:rsid w:val="00D91E9B"/>
    <w:rsid w:val="00D92539"/>
    <w:rsid w:val="00D93139"/>
    <w:rsid w:val="00D95754"/>
    <w:rsid w:val="00D96719"/>
    <w:rsid w:val="00D96B85"/>
    <w:rsid w:val="00DA0181"/>
    <w:rsid w:val="00DA0507"/>
    <w:rsid w:val="00DA0C44"/>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175"/>
    <w:rsid w:val="00DF0606"/>
    <w:rsid w:val="00DF0B4A"/>
    <w:rsid w:val="00DF1DA1"/>
    <w:rsid w:val="00DF2B34"/>
    <w:rsid w:val="00DF51B1"/>
    <w:rsid w:val="00DF7349"/>
    <w:rsid w:val="00E001A9"/>
    <w:rsid w:val="00E00200"/>
    <w:rsid w:val="00E02591"/>
    <w:rsid w:val="00E028E1"/>
    <w:rsid w:val="00E030E3"/>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31663"/>
    <w:rsid w:val="00E33CD6"/>
    <w:rsid w:val="00E34568"/>
    <w:rsid w:val="00E3529B"/>
    <w:rsid w:val="00E3574C"/>
    <w:rsid w:val="00E357B0"/>
    <w:rsid w:val="00E376AE"/>
    <w:rsid w:val="00E378C4"/>
    <w:rsid w:val="00E4035B"/>
    <w:rsid w:val="00E41296"/>
    <w:rsid w:val="00E41BA7"/>
    <w:rsid w:val="00E43032"/>
    <w:rsid w:val="00E43831"/>
    <w:rsid w:val="00E43AE2"/>
    <w:rsid w:val="00E43CD6"/>
    <w:rsid w:val="00E43EAF"/>
    <w:rsid w:val="00E44DC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87D66"/>
    <w:rsid w:val="00E90CCA"/>
    <w:rsid w:val="00E921B3"/>
    <w:rsid w:val="00E9227D"/>
    <w:rsid w:val="00E93B12"/>
    <w:rsid w:val="00E950BA"/>
    <w:rsid w:val="00EA19F5"/>
    <w:rsid w:val="00EA1BBC"/>
    <w:rsid w:val="00EA2409"/>
    <w:rsid w:val="00EA27A4"/>
    <w:rsid w:val="00EA3513"/>
    <w:rsid w:val="00EA50E3"/>
    <w:rsid w:val="00EA5DBB"/>
    <w:rsid w:val="00EA5F04"/>
    <w:rsid w:val="00EA68B2"/>
    <w:rsid w:val="00EA741D"/>
    <w:rsid w:val="00EA745E"/>
    <w:rsid w:val="00EB00F5"/>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E3F"/>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4EA3"/>
    <w:rsid w:val="00F46118"/>
    <w:rsid w:val="00F46BCB"/>
    <w:rsid w:val="00F50174"/>
    <w:rsid w:val="00F50399"/>
    <w:rsid w:val="00F5138F"/>
    <w:rsid w:val="00F51A6E"/>
    <w:rsid w:val="00F51FE6"/>
    <w:rsid w:val="00F53668"/>
    <w:rsid w:val="00F53CEA"/>
    <w:rsid w:val="00F54436"/>
    <w:rsid w:val="00F54AAA"/>
    <w:rsid w:val="00F54CA8"/>
    <w:rsid w:val="00F5538E"/>
    <w:rsid w:val="00F554E6"/>
    <w:rsid w:val="00F568EB"/>
    <w:rsid w:val="00F56B2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4F61"/>
    <w:rsid w:val="00FF6E1E"/>
    <w:rsid w:val="00FF74AE"/>
    <w:rsid w:val="00FF7EFD"/>
    <w:rsid w:val="01142BEC"/>
    <w:rsid w:val="012409F8"/>
    <w:rsid w:val="01401564"/>
    <w:rsid w:val="01695955"/>
    <w:rsid w:val="01897192"/>
    <w:rsid w:val="01934780"/>
    <w:rsid w:val="01A20ABE"/>
    <w:rsid w:val="01C65C02"/>
    <w:rsid w:val="01D502A4"/>
    <w:rsid w:val="01D93B53"/>
    <w:rsid w:val="01F114A6"/>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06AA0"/>
    <w:rsid w:val="03143DEC"/>
    <w:rsid w:val="03182B88"/>
    <w:rsid w:val="032458DA"/>
    <w:rsid w:val="0328539C"/>
    <w:rsid w:val="032A66B6"/>
    <w:rsid w:val="034562F5"/>
    <w:rsid w:val="03576735"/>
    <w:rsid w:val="0358799B"/>
    <w:rsid w:val="03595555"/>
    <w:rsid w:val="036C029C"/>
    <w:rsid w:val="036D2B34"/>
    <w:rsid w:val="037045C4"/>
    <w:rsid w:val="0394702E"/>
    <w:rsid w:val="0397458A"/>
    <w:rsid w:val="039E740C"/>
    <w:rsid w:val="03A13F91"/>
    <w:rsid w:val="03A827B6"/>
    <w:rsid w:val="03AF6750"/>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25376"/>
    <w:rsid w:val="04BC752A"/>
    <w:rsid w:val="04CB2483"/>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A25958"/>
    <w:rsid w:val="05CE5990"/>
    <w:rsid w:val="05DA25C7"/>
    <w:rsid w:val="05DD246D"/>
    <w:rsid w:val="05EC2BDE"/>
    <w:rsid w:val="0607734B"/>
    <w:rsid w:val="0608074A"/>
    <w:rsid w:val="060851D3"/>
    <w:rsid w:val="060B528E"/>
    <w:rsid w:val="060E40A5"/>
    <w:rsid w:val="061B3B46"/>
    <w:rsid w:val="062275CE"/>
    <w:rsid w:val="06391BDF"/>
    <w:rsid w:val="063F37FB"/>
    <w:rsid w:val="06471F16"/>
    <w:rsid w:val="06594F1E"/>
    <w:rsid w:val="06614BB6"/>
    <w:rsid w:val="068A4255"/>
    <w:rsid w:val="069F3BC7"/>
    <w:rsid w:val="06C0348C"/>
    <w:rsid w:val="06C62615"/>
    <w:rsid w:val="06D37F08"/>
    <w:rsid w:val="06D422E1"/>
    <w:rsid w:val="06DA22E9"/>
    <w:rsid w:val="070178DC"/>
    <w:rsid w:val="070761C8"/>
    <w:rsid w:val="070770AE"/>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BD614A"/>
    <w:rsid w:val="08C17591"/>
    <w:rsid w:val="08E37D2A"/>
    <w:rsid w:val="08E91129"/>
    <w:rsid w:val="08F63977"/>
    <w:rsid w:val="08FD362A"/>
    <w:rsid w:val="09051602"/>
    <w:rsid w:val="09095327"/>
    <w:rsid w:val="090B72E8"/>
    <w:rsid w:val="09241A75"/>
    <w:rsid w:val="093141B9"/>
    <w:rsid w:val="09383E5F"/>
    <w:rsid w:val="09393C7C"/>
    <w:rsid w:val="093E42C9"/>
    <w:rsid w:val="09440A55"/>
    <w:rsid w:val="09476394"/>
    <w:rsid w:val="095D1A76"/>
    <w:rsid w:val="09721512"/>
    <w:rsid w:val="09776735"/>
    <w:rsid w:val="097D7588"/>
    <w:rsid w:val="09807B86"/>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26EFC"/>
    <w:rsid w:val="0A793C89"/>
    <w:rsid w:val="0A84735B"/>
    <w:rsid w:val="0A8B6EB4"/>
    <w:rsid w:val="0A8C50DD"/>
    <w:rsid w:val="0A8F6645"/>
    <w:rsid w:val="0ABF6006"/>
    <w:rsid w:val="0AC2018B"/>
    <w:rsid w:val="0AC23D52"/>
    <w:rsid w:val="0AD45770"/>
    <w:rsid w:val="0ADA484F"/>
    <w:rsid w:val="0ADB4BBA"/>
    <w:rsid w:val="0ADE0DD3"/>
    <w:rsid w:val="0B077F8D"/>
    <w:rsid w:val="0B130A6D"/>
    <w:rsid w:val="0B137AF6"/>
    <w:rsid w:val="0B175CB8"/>
    <w:rsid w:val="0B291664"/>
    <w:rsid w:val="0B315168"/>
    <w:rsid w:val="0B380146"/>
    <w:rsid w:val="0B424B21"/>
    <w:rsid w:val="0B4D1E43"/>
    <w:rsid w:val="0B4E1717"/>
    <w:rsid w:val="0B517955"/>
    <w:rsid w:val="0B52745A"/>
    <w:rsid w:val="0B5B01CC"/>
    <w:rsid w:val="0B6E46A9"/>
    <w:rsid w:val="0B6F66A0"/>
    <w:rsid w:val="0B9C6927"/>
    <w:rsid w:val="0BA66253"/>
    <w:rsid w:val="0BB96F8E"/>
    <w:rsid w:val="0BC26057"/>
    <w:rsid w:val="0BC67500"/>
    <w:rsid w:val="0BE1507A"/>
    <w:rsid w:val="0BE512DE"/>
    <w:rsid w:val="0BEC55ED"/>
    <w:rsid w:val="0BFE548A"/>
    <w:rsid w:val="0C006EB6"/>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85DDF"/>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14423"/>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F00541F"/>
    <w:rsid w:val="0F046D96"/>
    <w:rsid w:val="0F20409F"/>
    <w:rsid w:val="0F220931"/>
    <w:rsid w:val="0F224C5E"/>
    <w:rsid w:val="0F500FDA"/>
    <w:rsid w:val="0F834430"/>
    <w:rsid w:val="0F8C7B52"/>
    <w:rsid w:val="0F8E3D1B"/>
    <w:rsid w:val="0F9F35AE"/>
    <w:rsid w:val="0FA16F08"/>
    <w:rsid w:val="0FA521BB"/>
    <w:rsid w:val="0FA56F3B"/>
    <w:rsid w:val="0FA6205A"/>
    <w:rsid w:val="0FCE65E6"/>
    <w:rsid w:val="0FD95637"/>
    <w:rsid w:val="0FE0018F"/>
    <w:rsid w:val="0FF81AB3"/>
    <w:rsid w:val="0FFC29A0"/>
    <w:rsid w:val="100D343E"/>
    <w:rsid w:val="10203647"/>
    <w:rsid w:val="10463305"/>
    <w:rsid w:val="10476A4E"/>
    <w:rsid w:val="10484F64"/>
    <w:rsid w:val="104D21C7"/>
    <w:rsid w:val="10536CB2"/>
    <w:rsid w:val="105416EB"/>
    <w:rsid w:val="10676E4F"/>
    <w:rsid w:val="10797237"/>
    <w:rsid w:val="10882799"/>
    <w:rsid w:val="108C5E7B"/>
    <w:rsid w:val="108F25B6"/>
    <w:rsid w:val="10906EAE"/>
    <w:rsid w:val="10934BB3"/>
    <w:rsid w:val="10C54E30"/>
    <w:rsid w:val="10C8348F"/>
    <w:rsid w:val="10CA1030"/>
    <w:rsid w:val="10CF51BA"/>
    <w:rsid w:val="10DB50DF"/>
    <w:rsid w:val="10E8710B"/>
    <w:rsid w:val="10E9512E"/>
    <w:rsid w:val="10F063E0"/>
    <w:rsid w:val="10F275BE"/>
    <w:rsid w:val="10FC4393"/>
    <w:rsid w:val="10FD0DE8"/>
    <w:rsid w:val="110F36F7"/>
    <w:rsid w:val="1122364C"/>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A06BD"/>
    <w:rsid w:val="121B012F"/>
    <w:rsid w:val="121E4813"/>
    <w:rsid w:val="123401D9"/>
    <w:rsid w:val="12415FD2"/>
    <w:rsid w:val="12704ACA"/>
    <w:rsid w:val="12851EC3"/>
    <w:rsid w:val="12893611"/>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B81E24"/>
    <w:rsid w:val="13B86770"/>
    <w:rsid w:val="13DE4FFB"/>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4C6CC8"/>
    <w:rsid w:val="15583332"/>
    <w:rsid w:val="15592554"/>
    <w:rsid w:val="155C124C"/>
    <w:rsid w:val="15624A00"/>
    <w:rsid w:val="156D0B2D"/>
    <w:rsid w:val="157056CC"/>
    <w:rsid w:val="157B57FF"/>
    <w:rsid w:val="15AC1FA0"/>
    <w:rsid w:val="15B4178F"/>
    <w:rsid w:val="15C36BB7"/>
    <w:rsid w:val="15D03AD9"/>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03286"/>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AD3F21"/>
    <w:rsid w:val="18B131B8"/>
    <w:rsid w:val="18B9196E"/>
    <w:rsid w:val="18CA3F17"/>
    <w:rsid w:val="18E84F59"/>
    <w:rsid w:val="19032E16"/>
    <w:rsid w:val="190B50EC"/>
    <w:rsid w:val="191912D0"/>
    <w:rsid w:val="1919138C"/>
    <w:rsid w:val="191C10A7"/>
    <w:rsid w:val="191D3504"/>
    <w:rsid w:val="19202AAF"/>
    <w:rsid w:val="193D18B1"/>
    <w:rsid w:val="1944076A"/>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501CC"/>
    <w:rsid w:val="1A012C35"/>
    <w:rsid w:val="1A1871D1"/>
    <w:rsid w:val="1A223331"/>
    <w:rsid w:val="1A272B94"/>
    <w:rsid w:val="1A293A7B"/>
    <w:rsid w:val="1A397017"/>
    <w:rsid w:val="1A40571B"/>
    <w:rsid w:val="1A46691A"/>
    <w:rsid w:val="1A4838AB"/>
    <w:rsid w:val="1A50159E"/>
    <w:rsid w:val="1A561C2F"/>
    <w:rsid w:val="1A5C19F6"/>
    <w:rsid w:val="1A661245"/>
    <w:rsid w:val="1A6D7C50"/>
    <w:rsid w:val="1A770393"/>
    <w:rsid w:val="1A884869"/>
    <w:rsid w:val="1A9316A1"/>
    <w:rsid w:val="1AAF7AF0"/>
    <w:rsid w:val="1AB9653B"/>
    <w:rsid w:val="1AC07C0C"/>
    <w:rsid w:val="1ADF3D8F"/>
    <w:rsid w:val="1AE76900"/>
    <w:rsid w:val="1AE949B2"/>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07D6D"/>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1B7B7F"/>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55468E"/>
    <w:rsid w:val="1F5A46D7"/>
    <w:rsid w:val="1F5B3A25"/>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D9783C"/>
    <w:rsid w:val="20DB272D"/>
    <w:rsid w:val="20DF30E6"/>
    <w:rsid w:val="20E35890"/>
    <w:rsid w:val="20EB5260"/>
    <w:rsid w:val="20ED25F8"/>
    <w:rsid w:val="211D5536"/>
    <w:rsid w:val="212D7653"/>
    <w:rsid w:val="21374CD0"/>
    <w:rsid w:val="215D3497"/>
    <w:rsid w:val="21630DF5"/>
    <w:rsid w:val="216D4818"/>
    <w:rsid w:val="21720723"/>
    <w:rsid w:val="21835A63"/>
    <w:rsid w:val="21997739"/>
    <w:rsid w:val="219A0DBB"/>
    <w:rsid w:val="21A453EC"/>
    <w:rsid w:val="21B77BBF"/>
    <w:rsid w:val="21CB5E66"/>
    <w:rsid w:val="21DA2B73"/>
    <w:rsid w:val="21E51C2D"/>
    <w:rsid w:val="21E53738"/>
    <w:rsid w:val="21E92794"/>
    <w:rsid w:val="21EF4EBF"/>
    <w:rsid w:val="21EF7EED"/>
    <w:rsid w:val="21F347B9"/>
    <w:rsid w:val="21F368D6"/>
    <w:rsid w:val="21FA030D"/>
    <w:rsid w:val="21FF696C"/>
    <w:rsid w:val="22080428"/>
    <w:rsid w:val="220E42DE"/>
    <w:rsid w:val="22195DBD"/>
    <w:rsid w:val="221E379A"/>
    <w:rsid w:val="2224484A"/>
    <w:rsid w:val="222A1CD6"/>
    <w:rsid w:val="222F2CD2"/>
    <w:rsid w:val="22327411"/>
    <w:rsid w:val="224704B5"/>
    <w:rsid w:val="22517C8A"/>
    <w:rsid w:val="22521CFA"/>
    <w:rsid w:val="22524403"/>
    <w:rsid w:val="225838E4"/>
    <w:rsid w:val="22627594"/>
    <w:rsid w:val="2268066E"/>
    <w:rsid w:val="2268361F"/>
    <w:rsid w:val="227151A7"/>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664593"/>
    <w:rsid w:val="2371794D"/>
    <w:rsid w:val="237241FA"/>
    <w:rsid w:val="2378293D"/>
    <w:rsid w:val="238907C0"/>
    <w:rsid w:val="2397403C"/>
    <w:rsid w:val="23985ED3"/>
    <w:rsid w:val="23A276E9"/>
    <w:rsid w:val="23A648EC"/>
    <w:rsid w:val="23BB6B9F"/>
    <w:rsid w:val="23D84978"/>
    <w:rsid w:val="23E30D15"/>
    <w:rsid w:val="23F64837"/>
    <w:rsid w:val="24002062"/>
    <w:rsid w:val="24177C0E"/>
    <w:rsid w:val="242B4894"/>
    <w:rsid w:val="242D4168"/>
    <w:rsid w:val="243015F1"/>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3B09"/>
    <w:rsid w:val="257D32AD"/>
    <w:rsid w:val="25801FB4"/>
    <w:rsid w:val="2586296F"/>
    <w:rsid w:val="258A1146"/>
    <w:rsid w:val="25934BCC"/>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2A0E33"/>
    <w:rsid w:val="273424B1"/>
    <w:rsid w:val="273B79BB"/>
    <w:rsid w:val="2744778D"/>
    <w:rsid w:val="274517C9"/>
    <w:rsid w:val="27473777"/>
    <w:rsid w:val="274C182B"/>
    <w:rsid w:val="276500BD"/>
    <w:rsid w:val="27672156"/>
    <w:rsid w:val="277A7A25"/>
    <w:rsid w:val="27876184"/>
    <w:rsid w:val="27983FEE"/>
    <w:rsid w:val="27A11B8B"/>
    <w:rsid w:val="27B7274B"/>
    <w:rsid w:val="27C54CC7"/>
    <w:rsid w:val="27C64BC1"/>
    <w:rsid w:val="27CC5810"/>
    <w:rsid w:val="27D172AC"/>
    <w:rsid w:val="27D8263D"/>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A53DB"/>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CA04EF"/>
    <w:rsid w:val="2BD15794"/>
    <w:rsid w:val="2BD33057"/>
    <w:rsid w:val="2BD83010"/>
    <w:rsid w:val="2BF20D2E"/>
    <w:rsid w:val="2BF96901"/>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32F1B"/>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0466B8"/>
    <w:rsid w:val="2F11106B"/>
    <w:rsid w:val="2F1B0F90"/>
    <w:rsid w:val="2F1C4972"/>
    <w:rsid w:val="2F2577CD"/>
    <w:rsid w:val="2F283B4E"/>
    <w:rsid w:val="2F48454C"/>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435EDA"/>
    <w:rsid w:val="315C5CED"/>
    <w:rsid w:val="31614603"/>
    <w:rsid w:val="317A1B66"/>
    <w:rsid w:val="317F1D7B"/>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4546A3"/>
    <w:rsid w:val="3256359F"/>
    <w:rsid w:val="325713D2"/>
    <w:rsid w:val="32693798"/>
    <w:rsid w:val="327D4E1A"/>
    <w:rsid w:val="32827D75"/>
    <w:rsid w:val="32835020"/>
    <w:rsid w:val="3289140B"/>
    <w:rsid w:val="32935ADE"/>
    <w:rsid w:val="32954F65"/>
    <w:rsid w:val="32990B86"/>
    <w:rsid w:val="329D1A9E"/>
    <w:rsid w:val="32A113F2"/>
    <w:rsid w:val="32AF11BA"/>
    <w:rsid w:val="32B439C8"/>
    <w:rsid w:val="32C178E7"/>
    <w:rsid w:val="32C263C3"/>
    <w:rsid w:val="32CB2FFC"/>
    <w:rsid w:val="32DC0656"/>
    <w:rsid w:val="32E901DF"/>
    <w:rsid w:val="32F72511"/>
    <w:rsid w:val="32FC0D80"/>
    <w:rsid w:val="330E7511"/>
    <w:rsid w:val="331001CE"/>
    <w:rsid w:val="331C3D26"/>
    <w:rsid w:val="331C7FC2"/>
    <w:rsid w:val="33222674"/>
    <w:rsid w:val="33240E2C"/>
    <w:rsid w:val="333B6726"/>
    <w:rsid w:val="333F5C66"/>
    <w:rsid w:val="33416700"/>
    <w:rsid w:val="33424721"/>
    <w:rsid w:val="334C600B"/>
    <w:rsid w:val="33553755"/>
    <w:rsid w:val="336E3487"/>
    <w:rsid w:val="337B6038"/>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A7D21"/>
    <w:rsid w:val="351F6CAD"/>
    <w:rsid w:val="35365AD4"/>
    <w:rsid w:val="353B60B2"/>
    <w:rsid w:val="354D6953"/>
    <w:rsid w:val="35527277"/>
    <w:rsid w:val="35530F4D"/>
    <w:rsid w:val="35585FE5"/>
    <w:rsid w:val="356762C7"/>
    <w:rsid w:val="35747E49"/>
    <w:rsid w:val="35751896"/>
    <w:rsid w:val="357A5F14"/>
    <w:rsid w:val="357B2200"/>
    <w:rsid w:val="357D2006"/>
    <w:rsid w:val="357E4747"/>
    <w:rsid w:val="358443E1"/>
    <w:rsid w:val="358F0A51"/>
    <w:rsid w:val="35970121"/>
    <w:rsid w:val="35A23875"/>
    <w:rsid w:val="35B27C4A"/>
    <w:rsid w:val="35BE2EBC"/>
    <w:rsid w:val="35C83E6A"/>
    <w:rsid w:val="35C9426D"/>
    <w:rsid w:val="35DA1C76"/>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74095D"/>
    <w:rsid w:val="369159C6"/>
    <w:rsid w:val="36A4500F"/>
    <w:rsid w:val="36A5411E"/>
    <w:rsid w:val="36AC3612"/>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ED7AAD"/>
    <w:rsid w:val="38EE7441"/>
    <w:rsid w:val="38F4304F"/>
    <w:rsid w:val="38FD2365"/>
    <w:rsid w:val="390A580B"/>
    <w:rsid w:val="390B630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392F9B"/>
    <w:rsid w:val="3B40257B"/>
    <w:rsid w:val="3B491CE5"/>
    <w:rsid w:val="3B516D1F"/>
    <w:rsid w:val="3B642666"/>
    <w:rsid w:val="3B681D22"/>
    <w:rsid w:val="3B6A626F"/>
    <w:rsid w:val="3B6E1C80"/>
    <w:rsid w:val="3B7C64DF"/>
    <w:rsid w:val="3B801B02"/>
    <w:rsid w:val="3B8D35D0"/>
    <w:rsid w:val="3B8E6E54"/>
    <w:rsid w:val="3BA47396"/>
    <w:rsid w:val="3BAF7D8C"/>
    <w:rsid w:val="3BB57C67"/>
    <w:rsid w:val="3BCB0C50"/>
    <w:rsid w:val="3BDD064B"/>
    <w:rsid w:val="3BE13D5E"/>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7F17A0"/>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73899"/>
    <w:rsid w:val="3EFC0365"/>
    <w:rsid w:val="3EFE4C27"/>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670D18"/>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F64D82"/>
    <w:rsid w:val="41FA4EAC"/>
    <w:rsid w:val="4202058A"/>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DE4B54"/>
    <w:rsid w:val="42EB63C1"/>
    <w:rsid w:val="42FF15D5"/>
    <w:rsid w:val="430C6383"/>
    <w:rsid w:val="431762B8"/>
    <w:rsid w:val="43290FCB"/>
    <w:rsid w:val="43321BC6"/>
    <w:rsid w:val="4352371B"/>
    <w:rsid w:val="43661A84"/>
    <w:rsid w:val="436734D2"/>
    <w:rsid w:val="43747266"/>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FA2613"/>
    <w:rsid w:val="44FB1D29"/>
    <w:rsid w:val="44FC5765"/>
    <w:rsid w:val="45040DE8"/>
    <w:rsid w:val="450F099A"/>
    <w:rsid w:val="4517557B"/>
    <w:rsid w:val="45203454"/>
    <w:rsid w:val="452F47DD"/>
    <w:rsid w:val="453606AF"/>
    <w:rsid w:val="453E56C7"/>
    <w:rsid w:val="454F3AE7"/>
    <w:rsid w:val="45651A06"/>
    <w:rsid w:val="45660E30"/>
    <w:rsid w:val="4567455C"/>
    <w:rsid w:val="45760AF7"/>
    <w:rsid w:val="4579321A"/>
    <w:rsid w:val="457A4CD3"/>
    <w:rsid w:val="457C68A6"/>
    <w:rsid w:val="45800CA7"/>
    <w:rsid w:val="458D7C03"/>
    <w:rsid w:val="458E6DB7"/>
    <w:rsid w:val="458F70A8"/>
    <w:rsid w:val="459B4F7E"/>
    <w:rsid w:val="45A45615"/>
    <w:rsid w:val="45BC2225"/>
    <w:rsid w:val="45C62DBF"/>
    <w:rsid w:val="45D0117F"/>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99729B"/>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7E2BEC"/>
    <w:rsid w:val="4981092F"/>
    <w:rsid w:val="498135F6"/>
    <w:rsid w:val="49835664"/>
    <w:rsid w:val="49873BD5"/>
    <w:rsid w:val="499601EF"/>
    <w:rsid w:val="49A41527"/>
    <w:rsid w:val="49B537A0"/>
    <w:rsid w:val="49BF4743"/>
    <w:rsid w:val="49DE37C0"/>
    <w:rsid w:val="49E0330D"/>
    <w:rsid w:val="49E87E68"/>
    <w:rsid w:val="4A015B5C"/>
    <w:rsid w:val="4A01737A"/>
    <w:rsid w:val="4A1202BB"/>
    <w:rsid w:val="4A246EBE"/>
    <w:rsid w:val="4A2700A1"/>
    <w:rsid w:val="4A282BDA"/>
    <w:rsid w:val="4A286032"/>
    <w:rsid w:val="4A397C53"/>
    <w:rsid w:val="4A796311"/>
    <w:rsid w:val="4A7B722F"/>
    <w:rsid w:val="4A82670C"/>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417F50"/>
    <w:rsid w:val="4C480E82"/>
    <w:rsid w:val="4C4C6FD2"/>
    <w:rsid w:val="4C516396"/>
    <w:rsid w:val="4C5529D6"/>
    <w:rsid w:val="4C5D3778"/>
    <w:rsid w:val="4C8449BE"/>
    <w:rsid w:val="4C8A18A8"/>
    <w:rsid w:val="4CE45D70"/>
    <w:rsid w:val="4CED61D5"/>
    <w:rsid w:val="4CF17F09"/>
    <w:rsid w:val="4D1A7C62"/>
    <w:rsid w:val="4D1D1133"/>
    <w:rsid w:val="4D1E6ED1"/>
    <w:rsid w:val="4D202FDB"/>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711BF"/>
    <w:rsid w:val="4DF97015"/>
    <w:rsid w:val="4E057729"/>
    <w:rsid w:val="4E1B709E"/>
    <w:rsid w:val="4E1E7579"/>
    <w:rsid w:val="4E247DB2"/>
    <w:rsid w:val="4E273DE5"/>
    <w:rsid w:val="4E3C1285"/>
    <w:rsid w:val="4E622240"/>
    <w:rsid w:val="4E6E199A"/>
    <w:rsid w:val="4E732B63"/>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793A96"/>
    <w:rsid w:val="4F883EEC"/>
    <w:rsid w:val="4F8F3395"/>
    <w:rsid w:val="4F980C3B"/>
    <w:rsid w:val="4FA13721"/>
    <w:rsid w:val="4FB55F4A"/>
    <w:rsid w:val="4FBE4051"/>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903F5"/>
    <w:rsid w:val="527A7CB3"/>
    <w:rsid w:val="52A07386"/>
    <w:rsid w:val="52A164E9"/>
    <w:rsid w:val="52AB07CA"/>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35B89"/>
    <w:rsid w:val="53B75823"/>
    <w:rsid w:val="53BD62D5"/>
    <w:rsid w:val="53C02595"/>
    <w:rsid w:val="53C3268C"/>
    <w:rsid w:val="53E27505"/>
    <w:rsid w:val="53FD66C5"/>
    <w:rsid w:val="53FE221A"/>
    <w:rsid w:val="53FF0758"/>
    <w:rsid w:val="540469E4"/>
    <w:rsid w:val="541073E2"/>
    <w:rsid w:val="541F62E9"/>
    <w:rsid w:val="54231CBD"/>
    <w:rsid w:val="5427555A"/>
    <w:rsid w:val="544016AA"/>
    <w:rsid w:val="544E7FAE"/>
    <w:rsid w:val="545850E2"/>
    <w:rsid w:val="54644B49"/>
    <w:rsid w:val="546754A1"/>
    <w:rsid w:val="546851B8"/>
    <w:rsid w:val="546D3FC4"/>
    <w:rsid w:val="547D31CE"/>
    <w:rsid w:val="548644E1"/>
    <w:rsid w:val="54940827"/>
    <w:rsid w:val="54952D11"/>
    <w:rsid w:val="54A366F7"/>
    <w:rsid w:val="54C067AF"/>
    <w:rsid w:val="54C17623"/>
    <w:rsid w:val="54D02E1F"/>
    <w:rsid w:val="54D57922"/>
    <w:rsid w:val="54D747FA"/>
    <w:rsid w:val="54DC2538"/>
    <w:rsid w:val="55061532"/>
    <w:rsid w:val="550B1741"/>
    <w:rsid w:val="552F6B42"/>
    <w:rsid w:val="55302A23"/>
    <w:rsid w:val="5540430F"/>
    <w:rsid w:val="554C162A"/>
    <w:rsid w:val="5550301C"/>
    <w:rsid w:val="55533D66"/>
    <w:rsid w:val="556F517F"/>
    <w:rsid w:val="557C4E2A"/>
    <w:rsid w:val="559430BC"/>
    <w:rsid w:val="559F3D1D"/>
    <w:rsid w:val="55BC2A71"/>
    <w:rsid w:val="55D66A87"/>
    <w:rsid w:val="55E30C67"/>
    <w:rsid w:val="55E409B1"/>
    <w:rsid w:val="56052016"/>
    <w:rsid w:val="560C2DCE"/>
    <w:rsid w:val="562B7073"/>
    <w:rsid w:val="562B79CA"/>
    <w:rsid w:val="56341519"/>
    <w:rsid w:val="56411A06"/>
    <w:rsid w:val="564E3947"/>
    <w:rsid w:val="56515D03"/>
    <w:rsid w:val="565F4031"/>
    <w:rsid w:val="567D15B1"/>
    <w:rsid w:val="56811AD2"/>
    <w:rsid w:val="5698669C"/>
    <w:rsid w:val="56A417B8"/>
    <w:rsid w:val="56B45E9F"/>
    <w:rsid w:val="56C70DE4"/>
    <w:rsid w:val="56D55DC9"/>
    <w:rsid w:val="56D92FA8"/>
    <w:rsid w:val="56ED315F"/>
    <w:rsid w:val="56F41E0B"/>
    <w:rsid w:val="570F33D0"/>
    <w:rsid w:val="57204187"/>
    <w:rsid w:val="57266C0E"/>
    <w:rsid w:val="572F79EC"/>
    <w:rsid w:val="57380A88"/>
    <w:rsid w:val="57450F26"/>
    <w:rsid w:val="574D3BFE"/>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B06B3A"/>
    <w:rsid w:val="58C521D5"/>
    <w:rsid w:val="58C752DF"/>
    <w:rsid w:val="58DB4DD2"/>
    <w:rsid w:val="58DF12A8"/>
    <w:rsid w:val="58EC5AC3"/>
    <w:rsid w:val="58ED289F"/>
    <w:rsid w:val="58ED7217"/>
    <w:rsid w:val="58EE3EA2"/>
    <w:rsid w:val="58FB162E"/>
    <w:rsid w:val="590A0FE6"/>
    <w:rsid w:val="5917721D"/>
    <w:rsid w:val="591B4018"/>
    <w:rsid w:val="59200A62"/>
    <w:rsid w:val="592A14B9"/>
    <w:rsid w:val="5933571A"/>
    <w:rsid w:val="59352B9C"/>
    <w:rsid w:val="59610683"/>
    <w:rsid w:val="597150E5"/>
    <w:rsid w:val="597F0DF8"/>
    <w:rsid w:val="59995ABA"/>
    <w:rsid w:val="59A938D2"/>
    <w:rsid w:val="59B05414"/>
    <w:rsid w:val="59B52271"/>
    <w:rsid w:val="59B85B4B"/>
    <w:rsid w:val="59E53864"/>
    <w:rsid w:val="5A0E2472"/>
    <w:rsid w:val="5A1678AB"/>
    <w:rsid w:val="5A24124F"/>
    <w:rsid w:val="5A300FAB"/>
    <w:rsid w:val="5A384712"/>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B382C"/>
    <w:rsid w:val="5BBE7F92"/>
    <w:rsid w:val="5BD9443C"/>
    <w:rsid w:val="5C013209"/>
    <w:rsid w:val="5C061473"/>
    <w:rsid w:val="5C0E2CDD"/>
    <w:rsid w:val="5C1D1CA2"/>
    <w:rsid w:val="5C1E4C32"/>
    <w:rsid w:val="5C2004F5"/>
    <w:rsid w:val="5C356D4E"/>
    <w:rsid w:val="5C3D32BA"/>
    <w:rsid w:val="5C400FE7"/>
    <w:rsid w:val="5C544AA0"/>
    <w:rsid w:val="5C597646"/>
    <w:rsid w:val="5C744C5C"/>
    <w:rsid w:val="5C8C6D7E"/>
    <w:rsid w:val="5C937ADE"/>
    <w:rsid w:val="5C9B365E"/>
    <w:rsid w:val="5CB02E9A"/>
    <w:rsid w:val="5CC95415"/>
    <w:rsid w:val="5CCC4A29"/>
    <w:rsid w:val="5CD73CF4"/>
    <w:rsid w:val="5CF36A7B"/>
    <w:rsid w:val="5D0102D3"/>
    <w:rsid w:val="5D0848C0"/>
    <w:rsid w:val="5D0F7AF0"/>
    <w:rsid w:val="5D1A6C78"/>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53E1"/>
    <w:rsid w:val="5EBE6E21"/>
    <w:rsid w:val="5EC66E93"/>
    <w:rsid w:val="5EC713B7"/>
    <w:rsid w:val="5EEE390A"/>
    <w:rsid w:val="5EF62DCD"/>
    <w:rsid w:val="5EFB1FD2"/>
    <w:rsid w:val="5F0B1D78"/>
    <w:rsid w:val="5F1A2DFE"/>
    <w:rsid w:val="5F1D6235"/>
    <w:rsid w:val="5F2A6692"/>
    <w:rsid w:val="5F406E19"/>
    <w:rsid w:val="5F5729E7"/>
    <w:rsid w:val="5F7843DA"/>
    <w:rsid w:val="5F995AA7"/>
    <w:rsid w:val="5FAD7930"/>
    <w:rsid w:val="5FBE26F7"/>
    <w:rsid w:val="5FC17815"/>
    <w:rsid w:val="5FCD1FBF"/>
    <w:rsid w:val="5FCF79FB"/>
    <w:rsid w:val="5FE904E2"/>
    <w:rsid w:val="5FE92EC8"/>
    <w:rsid w:val="5FEC4A77"/>
    <w:rsid w:val="5FFC08B7"/>
    <w:rsid w:val="600B4656"/>
    <w:rsid w:val="60266554"/>
    <w:rsid w:val="602F47E9"/>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5A4BAF"/>
    <w:rsid w:val="61625A2D"/>
    <w:rsid w:val="61783A3D"/>
    <w:rsid w:val="617F491F"/>
    <w:rsid w:val="61925C13"/>
    <w:rsid w:val="61952B5D"/>
    <w:rsid w:val="61A95CE7"/>
    <w:rsid w:val="61AE19EB"/>
    <w:rsid w:val="61BC2817"/>
    <w:rsid w:val="61BF1B9C"/>
    <w:rsid w:val="61C44616"/>
    <w:rsid w:val="61CE07AB"/>
    <w:rsid w:val="61D25C8D"/>
    <w:rsid w:val="61D4389A"/>
    <w:rsid w:val="61DD3FEA"/>
    <w:rsid w:val="61DE64DD"/>
    <w:rsid w:val="61E512DB"/>
    <w:rsid w:val="61E92F65"/>
    <w:rsid w:val="61EF2482"/>
    <w:rsid w:val="61F65545"/>
    <w:rsid w:val="621220C8"/>
    <w:rsid w:val="621A15B0"/>
    <w:rsid w:val="621C3655"/>
    <w:rsid w:val="623F1D73"/>
    <w:rsid w:val="62427E39"/>
    <w:rsid w:val="6247289E"/>
    <w:rsid w:val="62514EEA"/>
    <w:rsid w:val="625D15DE"/>
    <w:rsid w:val="62600C89"/>
    <w:rsid w:val="626A2816"/>
    <w:rsid w:val="627D1458"/>
    <w:rsid w:val="62835480"/>
    <w:rsid w:val="62A74C9F"/>
    <w:rsid w:val="62AD7217"/>
    <w:rsid w:val="62B31E89"/>
    <w:rsid w:val="62C16DC0"/>
    <w:rsid w:val="62CB5FF0"/>
    <w:rsid w:val="62CC27C3"/>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A1A23"/>
    <w:rsid w:val="652C579B"/>
    <w:rsid w:val="655C1E5D"/>
    <w:rsid w:val="655F478C"/>
    <w:rsid w:val="656048B5"/>
    <w:rsid w:val="65611CBE"/>
    <w:rsid w:val="65707F62"/>
    <w:rsid w:val="658D7083"/>
    <w:rsid w:val="65BC050F"/>
    <w:rsid w:val="65BD4816"/>
    <w:rsid w:val="65D200F0"/>
    <w:rsid w:val="65E571C8"/>
    <w:rsid w:val="65EA735F"/>
    <w:rsid w:val="65ED4397"/>
    <w:rsid w:val="65F12633"/>
    <w:rsid w:val="66054080"/>
    <w:rsid w:val="66124991"/>
    <w:rsid w:val="66195D1F"/>
    <w:rsid w:val="661A5D47"/>
    <w:rsid w:val="661F549B"/>
    <w:rsid w:val="66223A36"/>
    <w:rsid w:val="662A4A23"/>
    <w:rsid w:val="66326DE1"/>
    <w:rsid w:val="66430AE1"/>
    <w:rsid w:val="66503714"/>
    <w:rsid w:val="665F74AA"/>
    <w:rsid w:val="666A7158"/>
    <w:rsid w:val="667D40AC"/>
    <w:rsid w:val="667E5054"/>
    <w:rsid w:val="66815672"/>
    <w:rsid w:val="6683704C"/>
    <w:rsid w:val="668A14BE"/>
    <w:rsid w:val="669435F8"/>
    <w:rsid w:val="66A5386C"/>
    <w:rsid w:val="66CA7019"/>
    <w:rsid w:val="66D954ED"/>
    <w:rsid w:val="66E33D41"/>
    <w:rsid w:val="66E720AA"/>
    <w:rsid w:val="66F75934"/>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55A28"/>
    <w:rsid w:val="688B3BAF"/>
    <w:rsid w:val="689A5A71"/>
    <w:rsid w:val="68A75A91"/>
    <w:rsid w:val="68AA7102"/>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9C4FFF"/>
    <w:rsid w:val="69A045A3"/>
    <w:rsid w:val="69AA15D2"/>
    <w:rsid w:val="69B94D1D"/>
    <w:rsid w:val="69BD10B7"/>
    <w:rsid w:val="69BF0227"/>
    <w:rsid w:val="69C4365D"/>
    <w:rsid w:val="69D1246D"/>
    <w:rsid w:val="69E36BAA"/>
    <w:rsid w:val="69E834AA"/>
    <w:rsid w:val="69EB42BB"/>
    <w:rsid w:val="6A322FEF"/>
    <w:rsid w:val="6A477103"/>
    <w:rsid w:val="6A486BD3"/>
    <w:rsid w:val="6A591946"/>
    <w:rsid w:val="6A69079A"/>
    <w:rsid w:val="6A6C0D54"/>
    <w:rsid w:val="6A786D8C"/>
    <w:rsid w:val="6A8C272E"/>
    <w:rsid w:val="6A984028"/>
    <w:rsid w:val="6AB71390"/>
    <w:rsid w:val="6ABB5DAB"/>
    <w:rsid w:val="6AC40A7F"/>
    <w:rsid w:val="6ACB4124"/>
    <w:rsid w:val="6ACF10CC"/>
    <w:rsid w:val="6AF127EC"/>
    <w:rsid w:val="6AFA42CB"/>
    <w:rsid w:val="6B015ED8"/>
    <w:rsid w:val="6B0D1532"/>
    <w:rsid w:val="6B2B5269"/>
    <w:rsid w:val="6B2B5D22"/>
    <w:rsid w:val="6B4E57BB"/>
    <w:rsid w:val="6B513148"/>
    <w:rsid w:val="6B56478E"/>
    <w:rsid w:val="6B647753"/>
    <w:rsid w:val="6B7E2AFD"/>
    <w:rsid w:val="6B8E5844"/>
    <w:rsid w:val="6B945E48"/>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C01176"/>
    <w:rsid w:val="6DD2095A"/>
    <w:rsid w:val="6DDC30BC"/>
    <w:rsid w:val="6DDD7BF2"/>
    <w:rsid w:val="6DEE183F"/>
    <w:rsid w:val="6DF23DD0"/>
    <w:rsid w:val="6DF6714D"/>
    <w:rsid w:val="6DF95032"/>
    <w:rsid w:val="6E0136AD"/>
    <w:rsid w:val="6E023052"/>
    <w:rsid w:val="6E111DFC"/>
    <w:rsid w:val="6E1D3ED3"/>
    <w:rsid w:val="6E2414B8"/>
    <w:rsid w:val="6E382BA0"/>
    <w:rsid w:val="6E47470B"/>
    <w:rsid w:val="6E47741D"/>
    <w:rsid w:val="6E5378F4"/>
    <w:rsid w:val="6E7B5C0E"/>
    <w:rsid w:val="6E8201DA"/>
    <w:rsid w:val="6E827BFD"/>
    <w:rsid w:val="6E83614F"/>
    <w:rsid w:val="6E8535DD"/>
    <w:rsid w:val="6E8E6B7E"/>
    <w:rsid w:val="6E9847AA"/>
    <w:rsid w:val="6EF365BB"/>
    <w:rsid w:val="6EFB4CF6"/>
    <w:rsid w:val="6F1A72DF"/>
    <w:rsid w:val="6F2A36F6"/>
    <w:rsid w:val="6F327E52"/>
    <w:rsid w:val="6F397287"/>
    <w:rsid w:val="6F410ABA"/>
    <w:rsid w:val="6F60590D"/>
    <w:rsid w:val="6F6079D6"/>
    <w:rsid w:val="6F642C05"/>
    <w:rsid w:val="6F711839"/>
    <w:rsid w:val="6F750326"/>
    <w:rsid w:val="6F80296B"/>
    <w:rsid w:val="6F821CDE"/>
    <w:rsid w:val="6F881820"/>
    <w:rsid w:val="6F920302"/>
    <w:rsid w:val="6F931D99"/>
    <w:rsid w:val="6F964E5B"/>
    <w:rsid w:val="6F9B0185"/>
    <w:rsid w:val="6FA04AAA"/>
    <w:rsid w:val="6FAF3D7E"/>
    <w:rsid w:val="6FAF6D6D"/>
    <w:rsid w:val="6FBB7E67"/>
    <w:rsid w:val="6FC24297"/>
    <w:rsid w:val="6FC36CFC"/>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446DD"/>
    <w:rsid w:val="7085583C"/>
    <w:rsid w:val="708C533F"/>
    <w:rsid w:val="708D0E5C"/>
    <w:rsid w:val="70A92A4E"/>
    <w:rsid w:val="70CA6ECF"/>
    <w:rsid w:val="70D86148"/>
    <w:rsid w:val="70DA254F"/>
    <w:rsid w:val="70DB16E8"/>
    <w:rsid w:val="70DE7D7F"/>
    <w:rsid w:val="70FD2A7E"/>
    <w:rsid w:val="71074CF4"/>
    <w:rsid w:val="71121CE9"/>
    <w:rsid w:val="71282CE6"/>
    <w:rsid w:val="712B2DAA"/>
    <w:rsid w:val="713814D1"/>
    <w:rsid w:val="71436E6A"/>
    <w:rsid w:val="71471D08"/>
    <w:rsid w:val="714C7CA3"/>
    <w:rsid w:val="714F6A99"/>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2FD2525"/>
    <w:rsid w:val="730C0961"/>
    <w:rsid w:val="73100BB1"/>
    <w:rsid w:val="7319070C"/>
    <w:rsid w:val="731A46C8"/>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465A7"/>
    <w:rsid w:val="73F87705"/>
    <w:rsid w:val="74052AAA"/>
    <w:rsid w:val="74105A00"/>
    <w:rsid w:val="74143584"/>
    <w:rsid w:val="74152A1E"/>
    <w:rsid w:val="7416564C"/>
    <w:rsid w:val="741A356F"/>
    <w:rsid w:val="7442320A"/>
    <w:rsid w:val="74454185"/>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44598"/>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71CAD"/>
    <w:rsid w:val="78EE2FFF"/>
    <w:rsid w:val="791161EB"/>
    <w:rsid w:val="792C1DB9"/>
    <w:rsid w:val="793F39FB"/>
    <w:rsid w:val="795B547F"/>
    <w:rsid w:val="795D02C2"/>
    <w:rsid w:val="79621333"/>
    <w:rsid w:val="796F6E9B"/>
    <w:rsid w:val="79815925"/>
    <w:rsid w:val="799F20EA"/>
    <w:rsid w:val="79A13F5B"/>
    <w:rsid w:val="79BC7FD8"/>
    <w:rsid w:val="79C04E7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991981"/>
    <w:rsid w:val="7AA117CE"/>
    <w:rsid w:val="7AA46B9B"/>
    <w:rsid w:val="7AB21E46"/>
    <w:rsid w:val="7AB3674F"/>
    <w:rsid w:val="7AB45BBF"/>
    <w:rsid w:val="7ABE6A3D"/>
    <w:rsid w:val="7AC236E0"/>
    <w:rsid w:val="7B230C06"/>
    <w:rsid w:val="7B250039"/>
    <w:rsid w:val="7B2B7A96"/>
    <w:rsid w:val="7B2E6F40"/>
    <w:rsid w:val="7B2F0DB9"/>
    <w:rsid w:val="7B492AB4"/>
    <w:rsid w:val="7B5812E9"/>
    <w:rsid w:val="7B6E6D8B"/>
    <w:rsid w:val="7B8201B5"/>
    <w:rsid w:val="7B891830"/>
    <w:rsid w:val="7B8D0C64"/>
    <w:rsid w:val="7B8E01BE"/>
    <w:rsid w:val="7BBB4D5C"/>
    <w:rsid w:val="7BBC3CAF"/>
    <w:rsid w:val="7BC05E80"/>
    <w:rsid w:val="7BD02F3A"/>
    <w:rsid w:val="7BF17C99"/>
    <w:rsid w:val="7C236804"/>
    <w:rsid w:val="7C252D2F"/>
    <w:rsid w:val="7C4554B8"/>
    <w:rsid w:val="7C4A60FE"/>
    <w:rsid w:val="7C54428D"/>
    <w:rsid w:val="7C574E84"/>
    <w:rsid w:val="7C5E4792"/>
    <w:rsid w:val="7C7A1A6C"/>
    <w:rsid w:val="7C870C47"/>
    <w:rsid w:val="7C896BD7"/>
    <w:rsid w:val="7C933B4E"/>
    <w:rsid w:val="7C985EF6"/>
    <w:rsid w:val="7CB92C74"/>
    <w:rsid w:val="7CC04CEF"/>
    <w:rsid w:val="7CC256FE"/>
    <w:rsid w:val="7CCA3477"/>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6671D0"/>
    <w:rsid w:val="7E7334C1"/>
    <w:rsid w:val="7E7447B8"/>
    <w:rsid w:val="7E7464EF"/>
    <w:rsid w:val="7E7E58CD"/>
    <w:rsid w:val="7E7F2B5A"/>
    <w:rsid w:val="7E7F3309"/>
    <w:rsid w:val="7E930641"/>
    <w:rsid w:val="7E977723"/>
    <w:rsid w:val="7EA82160"/>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973D7"/>
    <w:rsid w:val="7F7A6DA0"/>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4"/>
    <w:semiHidden/>
    <w:unhideWhenUsed/>
    <w:qFormat/>
    <w:uiPriority w:val="99"/>
    <w:pPr>
      <w:jc w:val="left"/>
    </w:pPr>
  </w:style>
  <w:style w:type="paragraph" w:styleId="7">
    <w:name w:val="Date"/>
    <w:basedOn w:val="1"/>
    <w:next w:val="1"/>
    <w:link w:val="48"/>
    <w:semiHidden/>
    <w:unhideWhenUsed/>
    <w:qFormat/>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link w:val="37"/>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45"/>
    <w:semiHidden/>
    <w:unhideWhenUsed/>
    <w:qFormat/>
    <w:uiPriority w:val="99"/>
    <w:rPr>
      <w:b/>
      <w:bCs/>
    </w:r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none"/>
    </w:rPr>
  </w:style>
  <w:style w:type="character" w:styleId="19">
    <w:name w:val="Emphasis"/>
    <w:basedOn w:val="16"/>
    <w:qFormat/>
    <w:uiPriority w:val="0"/>
    <w:rPr>
      <w:i/>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21"/>
      <w:szCs w:val="21"/>
    </w:rPr>
  </w:style>
  <w:style w:type="character" w:customStyle="1" w:styleId="22">
    <w:name w:val="标题 1 字符"/>
    <w:basedOn w:val="16"/>
    <w:link w:val="2"/>
    <w:qFormat/>
    <w:uiPriority w:val="9"/>
    <w:rPr>
      <w:b/>
      <w:bCs/>
      <w:kern w:val="44"/>
      <w:sz w:val="44"/>
      <w:szCs w:val="44"/>
    </w:rPr>
  </w:style>
  <w:style w:type="character" w:customStyle="1" w:styleId="23">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24">
    <w:name w:val="11111"/>
    <w:basedOn w:val="12"/>
    <w:link w:val="26"/>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5">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6">
    <w:name w:val="11111 Char"/>
    <w:link w:val="24"/>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8">
    <w:name w:val="高参二"/>
    <w:basedOn w:val="3"/>
    <w:next w:val="1"/>
    <w:qFormat/>
    <w:uiPriority w:val="0"/>
    <w:pPr>
      <w:spacing w:line="500" w:lineRule="exact"/>
      <w:ind w:firstLine="643" w:firstLineChars="200"/>
    </w:pPr>
    <w:rPr>
      <w:rFonts w:ascii="Arial" w:hAnsi="Arial" w:eastAsia="宋体"/>
      <w:szCs w:val="22"/>
    </w:rPr>
  </w:style>
  <w:style w:type="character" w:customStyle="1" w:styleId="29">
    <w:name w:val="页眉 字符"/>
    <w:basedOn w:val="16"/>
    <w:link w:val="10"/>
    <w:qFormat/>
    <w:uiPriority w:val="99"/>
    <w:rPr>
      <w:sz w:val="18"/>
      <w:szCs w:val="18"/>
    </w:rPr>
  </w:style>
  <w:style w:type="character" w:customStyle="1" w:styleId="30">
    <w:name w:val="页脚 字符"/>
    <w:basedOn w:val="16"/>
    <w:link w:val="9"/>
    <w:qFormat/>
    <w:uiPriority w:val="99"/>
    <w:rPr>
      <w:sz w:val="18"/>
      <w:szCs w:val="18"/>
    </w:rPr>
  </w:style>
  <w:style w:type="character" w:customStyle="1" w:styleId="31">
    <w:name w:val="批注框文本 字符"/>
    <w:basedOn w:val="16"/>
    <w:link w:val="8"/>
    <w:semiHidden/>
    <w:qFormat/>
    <w:uiPriority w:val="99"/>
    <w:rPr>
      <w:sz w:val="18"/>
      <w:szCs w:val="18"/>
    </w:rPr>
  </w:style>
  <w:style w:type="character" w:customStyle="1" w:styleId="32">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33">
    <w:name w:val="标题 3 字符"/>
    <w:basedOn w:val="16"/>
    <w:link w:val="4"/>
    <w:semiHidden/>
    <w:qFormat/>
    <w:uiPriority w:val="9"/>
    <w:rPr>
      <w:b/>
      <w:bCs/>
      <w:sz w:val="32"/>
      <w:szCs w:val="32"/>
    </w:rPr>
  </w:style>
  <w:style w:type="paragraph" w:customStyle="1" w:styleId="34">
    <w:name w:val="_Style 2"/>
    <w:basedOn w:val="1"/>
    <w:next w:val="1"/>
    <w:qFormat/>
    <w:uiPriority w:val="0"/>
    <w:pPr>
      <w:pBdr>
        <w:bottom w:val="single" w:color="auto" w:sz="6" w:space="1"/>
      </w:pBdr>
      <w:jc w:val="center"/>
    </w:pPr>
    <w:rPr>
      <w:rFonts w:ascii="Arial" w:eastAsia="宋体"/>
      <w:vanish/>
      <w:sz w:val="16"/>
    </w:rPr>
  </w:style>
  <w:style w:type="paragraph" w:customStyle="1" w:styleId="35">
    <w:name w:val="_Style 3"/>
    <w:basedOn w:val="1"/>
    <w:next w:val="1"/>
    <w:qFormat/>
    <w:uiPriority w:val="0"/>
    <w:pPr>
      <w:pBdr>
        <w:top w:val="single" w:color="auto" w:sz="6" w:space="1"/>
      </w:pBdr>
      <w:jc w:val="center"/>
    </w:pPr>
    <w:rPr>
      <w:rFonts w:ascii="Arial" w:eastAsia="宋体"/>
      <w:vanish/>
      <w:sz w:val="16"/>
    </w:rPr>
  </w:style>
  <w:style w:type="character" w:customStyle="1" w:styleId="36">
    <w:name w:val="hover20"/>
    <w:basedOn w:val="16"/>
    <w:qFormat/>
    <w:uiPriority w:val="0"/>
    <w:rPr>
      <w:color w:val="557EE7"/>
    </w:rPr>
  </w:style>
  <w:style w:type="character" w:customStyle="1" w:styleId="37">
    <w:name w:val="目录 2 字符"/>
    <w:link w:val="12"/>
    <w:qFormat/>
    <w:uiPriority w:val="39"/>
  </w:style>
  <w:style w:type="paragraph" w:customStyle="1" w:styleId="38">
    <w:name w:val="高参二级"/>
    <w:basedOn w:val="1"/>
    <w:link w:val="39"/>
    <w:qFormat/>
    <w:uiPriority w:val="0"/>
    <w:pPr>
      <w:ind w:firstLine="640" w:firstLineChars="200"/>
    </w:pPr>
    <w:rPr>
      <w:rFonts w:ascii="宋体" w:hAnsi="宋体" w:eastAsia="宋体"/>
      <w:b/>
      <w:sz w:val="32"/>
      <w:szCs w:val="32"/>
    </w:rPr>
  </w:style>
  <w:style w:type="character" w:customStyle="1" w:styleId="39">
    <w:name w:val="高参二级 Char"/>
    <w:basedOn w:val="16"/>
    <w:link w:val="38"/>
    <w:qFormat/>
    <w:uiPriority w:val="0"/>
    <w:rPr>
      <w:rFonts w:ascii="宋体" w:hAnsi="宋体" w:cstheme="minorBidi"/>
      <w:b/>
      <w:kern w:val="2"/>
      <w:sz w:val="32"/>
      <w:szCs w:val="32"/>
    </w:rPr>
  </w:style>
  <w:style w:type="paragraph" w:customStyle="1" w:styleId="40">
    <w:name w:val="高参一级"/>
    <w:basedOn w:val="1"/>
    <w:link w:val="42"/>
    <w:qFormat/>
    <w:uiPriority w:val="0"/>
    <w:pPr>
      <w:spacing w:line="500" w:lineRule="exact"/>
      <w:jc w:val="center"/>
      <w:outlineLvl w:val="0"/>
    </w:pPr>
    <w:rPr>
      <w:rFonts w:ascii="宋体" w:hAnsi="宋体" w:eastAsia="宋体"/>
      <w:b/>
      <w:sz w:val="44"/>
      <w:szCs w:val="44"/>
    </w:rPr>
  </w:style>
  <w:style w:type="paragraph" w:customStyle="1" w:styleId="41">
    <w:name w:val="高参正文"/>
    <w:basedOn w:val="1"/>
    <w:link w:val="43"/>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2">
    <w:name w:val="高参一级 Char"/>
    <w:basedOn w:val="16"/>
    <w:link w:val="40"/>
    <w:qFormat/>
    <w:uiPriority w:val="0"/>
    <w:rPr>
      <w:rFonts w:ascii="宋体" w:hAnsi="宋体" w:cstheme="minorBidi"/>
      <w:b/>
      <w:kern w:val="2"/>
      <w:sz w:val="44"/>
      <w:szCs w:val="44"/>
    </w:rPr>
  </w:style>
  <w:style w:type="character" w:customStyle="1" w:styleId="43">
    <w:name w:val="高参正文 Char"/>
    <w:basedOn w:val="16"/>
    <w:link w:val="41"/>
    <w:qFormat/>
    <w:uiPriority w:val="0"/>
    <w:rPr>
      <w:rFonts w:ascii="宋体" w:hAnsi="宋体"/>
      <w:sz w:val="28"/>
      <w:szCs w:val="28"/>
    </w:rPr>
  </w:style>
  <w:style w:type="character" w:customStyle="1" w:styleId="44">
    <w:name w:val="批注文字 字符"/>
    <w:basedOn w:val="16"/>
    <w:link w:val="6"/>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14"/>
    <w:semiHidden/>
    <w:qFormat/>
    <w:uiPriority w:val="99"/>
    <w:rPr>
      <w:rFonts w:asciiTheme="minorHAnsi" w:hAnsiTheme="minorHAnsi" w:eastAsiaTheme="minorEastAsia" w:cstheme="minorBidi"/>
      <w:b/>
      <w:bCs/>
      <w:kern w:val="2"/>
      <w:sz w:val="21"/>
      <w:szCs w:val="22"/>
    </w:rPr>
  </w:style>
  <w:style w:type="character" w:customStyle="1" w:styleId="46">
    <w:name w:val="未处理的提及1"/>
    <w:basedOn w:val="16"/>
    <w:semiHidden/>
    <w:unhideWhenUsed/>
    <w:qFormat/>
    <w:uiPriority w:val="99"/>
    <w:rPr>
      <w:color w:val="605E5C"/>
      <w:shd w:val="clear" w:color="auto" w:fill="E1DFDD"/>
    </w:rPr>
  </w:style>
  <w:style w:type="character" w:customStyle="1" w:styleId="47">
    <w:name w:val="未处理的提及2"/>
    <w:basedOn w:val="16"/>
    <w:semiHidden/>
    <w:unhideWhenUsed/>
    <w:qFormat/>
    <w:uiPriority w:val="99"/>
    <w:rPr>
      <w:color w:val="605E5C"/>
      <w:shd w:val="clear" w:color="auto" w:fill="E1DFDD"/>
    </w:rPr>
  </w:style>
  <w:style w:type="character" w:customStyle="1" w:styleId="48">
    <w:name w:val="日期 字符"/>
    <w:basedOn w:val="16"/>
    <w:link w:val="7"/>
    <w:semiHidden/>
    <w:qFormat/>
    <w:uiPriority w:val="99"/>
    <w:rPr>
      <w:rFonts w:asciiTheme="minorHAnsi" w:hAnsiTheme="minorHAnsi" w:eastAsiaTheme="minorEastAsia" w:cstheme="minorBidi"/>
      <w:kern w:val="2"/>
      <w:sz w:val="21"/>
      <w:szCs w:val="22"/>
    </w:rPr>
  </w:style>
  <w:style w:type="paragraph" w:customStyle="1" w:styleId="4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41F9D-D3CB-4594-9806-258092D791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2570</Words>
  <Characters>14649</Characters>
  <Lines>122</Lines>
  <Paragraphs>34</Paragraphs>
  <TotalTime>93</TotalTime>
  <ScaleCrop>false</ScaleCrop>
  <LinksUpToDate>false</LinksUpToDate>
  <CharactersWithSpaces>17185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2026-04-11T07:09:00Z</dcterms:created>
  <dc:creator>lenovo</dc:creator>
  <cp:lastModifiedBy>nana</cp:lastModifiedBy>
  <cp:lastPrinted>2025-12-30T08:08:00Z</cp:lastPrinted>
  <dcterms:modified xsi:type="dcterms:W3CDTF">2026-04-29T07:30:33Z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2F8ED8C85FBE48C7BAA26E87445042EF_13</vt:lpwstr>
  </property>
</Properties>
</file>