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pPr>
        <w:spacing w:line="500" w:lineRule="exact"/>
        <w:ind w:firstLine="720" w:firstLineChars="200"/>
        <w:rPr>
          <w:rFonts w:ascii="Times New Roman" w:hAnsi="Times New Roman" w:eastAsia="宋体" w:cs="Times New Roman"/>
          <w:sz w:val="36"/>
          <w:szCs w:val="36"/>
        </w:rPr>
      </w:pPr>
    </w:p>
    <w:p>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6</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第0</w:t>
      </w:r>
      <w:r>
        <w:rPr>
          <w:rFonts w:hint="eastAsia" w:ascii="Times New Roman" w:hAnsi="Times New Roman" w:eastAsia="宋体" w:cs="Times New Roman"/>
          <w:b/>
          <w:sz w:val="28"/>
          <w:szCs w:val="28"/>
        </w:rPr>
        <w:t>2</w:t>
      </w:r>
      <w:r>
        <w:rPr>
          <w:rFonts w:ascii="Times New Roman" w:hAnsi="Times New Roman" w:eastAsia="宋体" w:cs="Times New Roman"/>
          <w:b/>
          <w:sz w:val="28"/>
          <w:szCs w:val="28"/>
        </w:rPr>
        <w:t>期</w:t>
      </w:r>
    </w:p>
    <w:p>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（总第9</w:t>
      </w:r>
      <w:r>
        <w:rPr>
          <w:rFonts w:hint="eastAsia" w:ascii="Times New Roman" w:hAnsi="Times New Roman" w:eastAsia="宋体" w:cs="Times New Roman"/>
          <w:b/>
          <w:sz w:val="28"/>
          <w:szCs w:val="28"/>
        </w:rPr>
        <w:t>1</w:t>
      </w:r>
      <w:r>
        <w:rPr>
          <w:rFonts w:ascii="Times New Roman" w:hAnsi="Times New Roman" w:eastAsia="宋体" w:cs="Times New Roman"/>
          <w:b/>
          <w:sz w:val="28"/>
          <w:szCs w:val="28"/>
        </w:rPr>
        <w:t>期）</w:t>
      </w:r>
    </w:p>
    <w:p>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二六</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三</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pPr>
        <w:pStyle w:val="25"/>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ascii="Times New Roman" w:hAnsi="Times New Roman" w:eastAsia="宋体" w:cs="Times New Roman"/>
          <w:b w:val="0"/>
          <w:sz w:val="28"/>
          <w:szCs w:val="28"/>
          <w:lang w:val="zh-CN"/>
        </w:rPr>
      </w:sdtEndPr>
      <w:sdtContent>
        <w:p>
          <w:pPr>
            <w:pStyle w:val="11"/>
            <w:tabs>
              <w:tab w:val="right" w:leader="dot" w:pos="8296"/>
            </w:tabs>
            <w:rPr>
              <w:rFonts w:ascii="Times New Roman" w:hAnsi="Times New Roman" w:cs="Times New Roman"/>
              <w:sz w:val="28"/>
            </w:rPr>
          </w:pPr>
          <w:r>
            <w:rPr>
              <w:rFonts w:ascii="Times New Roman" w:hAnsi="Times New Roman" w:eastAsia="宋体" w:cs="Times New Roman"/>
              <w:b/>
              <w:sz w:val="52"/>
              <w:szCs w:val="28"/>
            </w:rPr>
            <w:fldChar w:fldCharType="begin"/>
          </w:r>
          <w:r>
            <w:rPr>
              <w:rFonts w:ascii="Times New Roman" w:hAnsi="Times New Roman" w:eastAsia="宋体" w:cs="Times New Roman"/>
              <w:sz w:val="52"/>
              <w:szCs w:val="28"/>
            </w:rPr>
            <w:instrText xml:space="preserve"> TOC \o "1-3" \h \z \u </w:instrText>
          </w:r>
          <w:r>
            <w:rPr>
              <w:rFonts w:ascii="Times New Roman" w:hAnsi="Times New Roman" w:eastAsia="宋体" w:cs="Times New Roman"/>
              <w:b/>
              <w:sz w:val="52"/>
              <w:szCs w:val="28"/>
            </w:rPr>
            <w:fldChar w:fldCharType="separate"/>
          </w:r>
          <w:r>
            <w:fldChar w:fldCharType="begin"/>
          </w:r>
          <w:r>
            <w:instrText xml:space="preserve"> HYPERLINK \l "_Toc225721708" </w:instrText>
          </w:r>
          <w:r>
            <w:fldChar w:fldCharType="separate"/>
          </w:r>
          <w:r>
            <w:rPr>
              <w:rStyle w:val="20"/>
              <w:rFonts w:ascii="Times New Roman" w:hAnsi="Times New Roman" w:cs="Times New Roman"/>
              <w:sz w:val="28"/>
            </w:rPr>
            <w:t>【思政建设】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_Toc225721708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"_Toc225721709"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光明日报：厚植学理根基，释放思政课育人活力</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_Toc225721709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"_Toc225721710"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学习时报：促进思政课堂和社会课堂有效融合</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_Toc225721710 \h </w:instrText>
          </w:r>
          <w:r>
            <w:rPr>
              <w:rFonts w:ascii="Times New Roman" w:hAnsi="Times New Roman" w:cs="Times New Roman"/>
              <w:sz w:val="28"/>
            </w:rPr>
            <w:fldChar w:fldCharType="separate"/>
          </w:r>
          <w:r>
            <w:rPr>
              <w:rFonts w:ascii="Times New Roman" w:hAnsi="Times New Roman" w:cs="Times New Roman"/>
              <w:sz w:val="28"/>
            </w:rPr>
            <w:t>4</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"_Toc225721711" </w:instrText>
          </w:r>
          <w:r>
            <w:fldChar w:fldCharType="separate"/>
          </w:r>
          <w:r>
            <w:rPr>
              <w:rStyle w:val="20"/>
              <w:rFonts w:ascii="Times New Roman" w:hAnsi="Times New Roman" w:cs="Times New Roman"/>
              <w:sz w:val="28"/>
            </w:rPr>
            <w:t>【两会聚焦】</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_Toc225721711 \h </w:instrText>
          </w:r>
          <w:r>
            <w:rPr>
              <w:rFonts w:ascii="Times New Roman" w:hAnsi="Times New Roman" w:cs="Times New Roman"/>
              <w:sz w:val="28"/>
            </w:rPr>
            <w:fldChar w:fldCharType="separate"/>
          </w:r>
          <w:r>
            <w:rPr>
              <w:rFonts w:ascii="Times New Roman" w:hAnsi="Times New Roman" w:cs="Times New Roman"/>
              <w:sz w:val="28"/>
            </w:rPr>
            <w:t>9</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"_Toc225721712"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教育之弦：未来五年，教育这么干！</w:t>
          </w:r>
          <w:r>
            <w:rPr>
              <w:rStyle w:val="20"/>
              <w:rFonts w:hint="eastAsia" w:ascii="Times New Roman" w:hAnsi="Times New Roman" w:cs="Times New Roman" w:eastAsiaTheme="majorEastAsia"/>
              <w:sz w:val="28"/>
            </w:rPr>
            <w:t>“十五五”</w:t>
          </w:r>
          <w:r>
            <w:rPr>
              <w:rStyle w:val="20"/>
              <w:rFonts w:ascii="Times New Roman" w:hAnsi="Times New Roman" w:cs="Times New Roman" w:eastAsiaTheme="majorEastAsia"/>
              <w:sz w:val="28"/>
            </w:rPr>
            <w:t>规划纲要作出部署</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_Toc225721712 \h </w:instrText>
          </w:r>
          <w:r>
            <w:rPr>
              <w:rFonts w:ascii="Times New Roman" w:hAnsi="Times New Roman" w:cs="Times New Roman"/>
              <w:sz w:val="28"/>
            </w:rPr>
            <w:fldChar w:fldCharType="separate"/>
          </w:r>
          <w:r>
            <w:rPr>
              <w:rFonts w:ascii="Times New Roman" w:hAnsi="Times New Roman" w:cs="Times New Roman"/>
              <w:sz w:val="28"/>
            </w:rPr>
            <w:t>9</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"_Toc225721713"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中国教育报：引导高校在各自赛道各展所长</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_Toc225721713 \h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"_Toc225721714" </w:instrText>
          </w:r>
          <w:r>
            <w:fldChar w:fldCharType="separate"/>
          </w:r>
          <w:r>
            <w:rPr>
              <w:rStyle w:val="20"/>
              <w:rFonts w:ascii="Times New Roman" w:hAnsi="Times New Roman" w:cs="Times New Roman"/>
              <w:sz w:val="28"/>
            </w:rPr>
            <w:t>【升大动态】</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_Toc225721714 \h </w:instrText>
          </w:r>
          <w:r>
            <w:rPr>
              <w:rFonts w:ascii="Times New Roman" w:hAnsi="Times New Roman" w:cs="Times New Roman"/>
              <w:sz w:val="28"/>
            </w:rPr>
            <w:fldChar w:fldCharType="separate"/>
          </w:r>
          <w:r>
            <w:rPr>
              <w:rFonts w:ascii="Times New Roman" w:hAnsi="Times New Roman" w:cs="Times New Roman"/>
              <w:sz w:val="28"/>
            </w:rPr>
            <w:t>15</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"_Toc225721715"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内蒙古日报：赤峰学院更名为赤峰大学</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_Toc225721715 \h </w:instrText>
          </w:r>
          <w:r>
            <w:rPr>
              <w:rFonts w:ascii="Times New Roman" w:hAnsi="Times New Roman" w:cs="Times New Roman"/>
              <w:sz w:val="28"/>
            </w:rPr>
            <w:fldChar w:fldCharType="separate"/>
          </w:r>
          <w:r>
            <w:rPr>
              <w:rFonts w:ascii="Times New Roman" w:hAnsi="Times New Roman" w:cs="Times New Roman"/>
              <w:sz w:val="28"/>
            </w:rPr>
            <w:t>15</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"_Toc225721716"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中青在线：滨州医学院正式更名为山东医药大学</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_Toc225721716 \h </w:instrText>
          </w:r>
          <w:r>
            <w:rPr>
              <w:rFonts w:ascii="Times New Roman" w:hAnsi="Times New Roman" w:cs="Times New Roman"/>
              <w:sz w:val="28"/>
            </w:rPr>
            <w:fldChar w:fldCharType="separate"/>
          </w:r>
          <w:r>
            <w:rPr>
              <w:rFonts w:ascii="Times New Roman" w:hAnsi="Times New Roman" w:cs="Times New Roman"/>
              <w:sz w:val="28"/>
            </w:rPr>
            <w:t>15</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"_Toc225721717" </w:instrText>
          </w:r>
          <w:r>
            <w:fldChar w:fldCharType="separate"/>
          </w:r>
          <w:r>
            <w:rPr>
              <w:rStyle w:val="20"/>
              <w:rFonts w:ascii="Times New Roman" w:hAnsi="Times New Roman" w:cs="Times New Roman"/>
              <w:sz w:val="28"/>
            </w:rPr>
            <w:t>【院校扫描】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_Toc225721717 \h </w:instrText>
          </w:r>
          <w:r>
            <w:rPr>
              <w:rFonts w:ascii="Times New Roman" w:hAnsi="Times New Roman" w:cs="Times New Roman"/>
              <w:sz w:val="28"/>
            </w:rPr>
            <w:fldChar w:fldCharType="separate"/>
          </w:r>
          <w:r>
            <w:rPr>
              <w:rFonts w:ascii="Times New Roman" w:hAnsi="Times New Roman" w:cs="Times New Roman"/>
              <w:sz w:val="28"/>
            </w:rPr>
            <w:t>17</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"_Toc225721718" </w:instrText>
          </w:r>
          <w:r>
            <w:fldChar w:fldCharType="separate"/>
          </w:r>
          <w:r>
            <w:rPr>
              <w:rStyle w:val="20"/>
              <w:rFonts w:ascii="Times New Roman" w:hAnsi="Times New Roman" w:cs="Times New Roman" w:eastAsiaTheme="majorEastAsia"/>
              <w:sz w:val="28"/>
            </w:rPr>
            <w:sym w:font="Wingdings" w:char="F075"/>
          </w:r>
          <w:r>
            <w:rPr>
              <w:rStyle w:val="20"/>
              <w:rFonts w:ascii="Times New Roman" w:hAnsi="Times New Roman" w:cs="Times New Roman" w:eastAsiaTheme="majorEastAsia"/>
              <w:sz w:val="28"/>
            </w:rPr>
            <w:t>盐城师范学院：校地同频 科教共振</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_Toc225721718 \h </w:instrText>
          </w:r>
          <w:r>
            <w:rPr>
              <w:rFonts w:ascii="Times New Roman" w:hAnsi="Times New Roman" w:cs="Times New Roman"/>
              <w:sz w:val="28"/>
            </w:rPr>
            <w:fldChar w:fldCharType="separate"/>
          </w:r>
          <w:r>
            <w:rPr>
              <w:rFonts w:ascii="Times New Roman" w:hAnsi="Times New Roman" w:cs="Times New Roman"/>
              <w:sz w:val="28"/>
            </w:rPr>
            <w:t>17</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"_Toc225721719" </w:instrText>
          </w:r>
          <w:r>
            <w:fldChar w:fldCharType="separate"/>
          </w:r>
          <w:bookmarkStart w:id="0" w:name="_Toc223201910"/>
          <w:r>
            <w:rPr>
              <w:rStyle w:val="20"/>
              <w:rFonts w:ascii="Times New Roman" w:hAnsi="Times New Roman" w:cs="Times New Roman" w:eastAsiaTheme="majorEastAsia"/>
              <w:sz w:val="28"/>
            </w:rPr>
            <w:sym w:font="Wingdings" w:char="F075"/>
          </w:r>
          <w:bookmarkEnd w:id="0"/>
          <w:r>
            <w:rPr>
              <w:rStyle w:val="20"/>
              <w:rFonts w:ascii="Times New Roman" w:hAnsi="Times New Roman" w:cs="Times New Roman" w:eastAsiaTheme="majorEastAsia"/>
              <w:sz w:val="28"/>
            </w:rPr>
            <w:t>黑龙江工程学院：让学生研究真问题、练就真本领</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_Toc225721719 \h </w:instrText>
          </w:r>
          <w:r>
            <w:rPr>
              <w:rFonts w:ascii="Times New Roman" w:hAnsi="Times New Roman" w:cs="Times New Roman"/>
              <w:sz w:val="28"/>
            </w:rPr>
            <w:fldChar w:fldCharType="separate"/>
          </w:r>
          <w:r>
            <w:rPr>
              <w:rFonts w:ascii="Times New Roman" w:hAnsi="Times New Roman" w:cs="Times New Roman"/>
              <w:sz w:val="28"/>
            </w:rPr>
            <w:t>21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"_Toc225721720" </w:instrText>
          </w:r>
          <w:r>
            <w:fldChar w:fldCharType="separate"/>
          </w:r>
          <w:r>
            <w:rPr>
              <w:rStyle w:val="20"/>
              <w:rFonts w:ascii="Times New Roman" w:hAnsi="Times New Roman" w:cs="Times New Roman"/>
              <w:sz w:val="28"/>
            </w:rPr>
            <w:t>【转型探索】</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_Toc225721720 \h </w:instrText>
          </w:r>
          <w:r>
            <w:rPr>
              <w:rFonts w:ascii="Times New Roman" w:hAnsi="Times New Roman" w:cs="Times New Roman"/>
              <w:sz w:val="28"/>
            </w:rPr>
            <w:fldChar w:fldCharType="separate"/>
          </w:r>
          <w:r>
            <w:rPr>
              <w:rFonts w:ascii="Times New Roman" w:hAnsi="Times New Roman" w:cs="Times New Roman"/>
              <w:sz w:val="28"/>
            </w:rPr>
            <w:t>24</w:t>
          </w:r>
          <w:r>
            <w:rPr>
              <w:rFonts w:ascii="Times New Roman" w:hAnsi="Times New Roman" w:cs="Times New Roman"/>
              <w:sz w:val="28"/>
            </w:rPr>
            <w:fldChar w:fldCharType="end"/>
          </w:r>
          <w:r>
            <w:rPr>
              <w:rFonts w:ascii="Times New Roman" w:hAnsi="Times New Roman" w:cs="Times New Roman"/>
              <w:sz w:val="28"/>
            </w:rPr>
            <w:fldChar w:fldCharType="end"/>
          </w:r>
        </w:p>
        <w:p>
          <w:pPr>
            <w:pStyle w:val="12"/>
            <w:tabs>
              <w:tab w:val="right" w:leader="dot" w:pos="8296"/>
            </w:tabs>
            <w:rPr>
              <w:rFonts w:ascii="Times New Roman" w:hAnsi="Times New Roman" w:cs="Times New Roman"/>
              <w:sz w:val="28"/>
            </w:rPr>
          </w:pPr>
          <w:r>
            <w:fldChar w:fldCharType="begin"/>
          </w:r>
          <w:r>
            <w:instrText xml:space="preserve"> HYPERLINK \l "_Toc225721721" </w:instrText>
          </w:r>
          <w:r>
            <w:fldChar w:fldCharType="separate"/>
          </w:r>
          <w:r>
            <w:rPr>
              <w:rStyle w:val="20"/>
              <w:rFonts w:ascii="Times New Roman" w:hAnsi="Times New Roman" w:cs="Times New Roman" w:eastAsiaTheme="majorEastAsia"/>
              <w:sz w:val="28"/>
            </w:rPr>
            <w:sym w:font="Wingdings" w:char="F075"/>
          </w:r>
          <w:r>
            <w:rPr>
              <w:rStyle w:val="20"/>
              <w:rFonts w:hint="eastAsia" w:ascii="Times New Roman" w:hAnsi="Times New Roman" w:cs="Times New Roman" w:eastAsiaTheme="majorEastAsia"/>
              <w:sz w:val="28"/>
            </w:rPr>
            <w:t>中国教育报：应用型高校要向实践要“前途”</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_Toc225721721 \h </w:instrText>
          </w:r>
          <w:r>
            <w:rPr>
              <w:rFonts w:ascii="Times New Roman" w:hAnsi="Times New Roman" w:cs="Times New Roman"/>
              <w:sz w:val="28"/>
            </w:rPr>
            <w:fldChar w:fldCharType="separate"/>
          </w:r>
          <w:r>
            <w:rPr>
              <w:rFonts w:ascii="Times New Roman" w:hAnsi="Times New Roman" w:cs="Times New Roman"/>
              <w:sz w:val="28"/>
            </w:rPr>
            <w:t>24</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snapToGrid w:val="0"/>
            <w:spacing w:line="500" w:lineRule="exact"/>
            <w:rPr>
              <w:rFonts w:ascii="Times New Roman" w:hAnsi="Times New Roman" w:eastAsia="宋体"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52"/>
              <w:szCs w:val="28"/>
              <w:lang w:val="zh-CN"/>
            </w:rPr>
            <w:fldChar w:fldCharType="end"/>
          </w:r>
        </w:p>
      </w:sdtContent>
    </w:sdt>
    <w:p>
      <w:pPr>
        <w:pStyle w:val="40"/>
        <w:rPr>
          <w:rFonts w:ascii="Times New Roman" w:hAnsi="Times New Roman"/>
        </w:rPr>
      </w:pPr>
      <w:bookmarkStart w:id="1" w:name="OLE_LINK3"/>
      <w:bookmarkStart w:id="2" w:name="_Toc225721708"/>
      <w:r>
        <w:rPr>
          <w:rFonts w:hint="eastAsia" w:ascii="Times New Roman" w:hAnsi="Times New Roman"/>
        </w:rPr>
        <w:t>【思政建设】</w:t>
      </w:r>
      <w:bookmarkEnd w:id="1"/>
      <w:bookmarkEnd w:id="2"/>
    </w:p>
    <w:p>
      <w:pPr>
        <w:pStyle w:val="25"/>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3" w:name="_Toc225721709"/>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光明日报：厚植学理根基，释放思政课育人活力</w:t>
      </w:r>
      <w:bookmarkEnd w:id="3"/>
    </w:p>
    <w:p>
      <w:pPr>
        <w:pStyle w:val="25"/>
        <w:ind w:firstLine="562"/>
        <w:rPr>
          <w:rFonts w:ascii="Times New Roman" w:hAnsi="Times New Roman"/>
          <w:b/>
          <w:bCs/>
        </w:rPr>
      </w:pPr>
      <w:bookmarkStart w:id="4" w:name="OLE_LINK4"/>
      <w:r>
        <w:rPr>
          <w:rFonts w:hint="eastAsia" w:ascii="Times New Roman" w:hAnsi="Times New Roman"/>
          <w:b/>
          <w:bCs/>
        </w:rPr>
        <w:t>问题聚焦核心任务，厚植思想理论研究根基</w:t>
      </w:r>
    </w:p>
    <w:p>
      <w:pPr>
        <w:pStyle w:val="25"/>
        <w:rPr>
          <w:rFonts w:ascii="Times New Roman" w:hAnsi="Times New Roman"/>
        </w:rPr>
      </w:pPr>
      <w:r>
        <w:rPr>
          <w:rFonts w:hint="eastAsia" w:ascii="Times New Roman" w:hAnsi="Times New Roman"/>
        </w:rPr>
        <w:t>思政课的本质是讲道理，讲道理的底气，源自对真理的深刻把握和全面占有。思想理论上的彻底，只能来自对思想理论的深入研究。</w:t>
      </w:r>
    </w:p>
    <w:p>
      <w:pPr>
        <w:pStyle w:val="25"/>
        <w:rPr>
          <w:rFonts w:ascii="Times New Roman" w:hAnsi="Times New Roman"/>
        </w:rPr>
      </w:pPr>
      <w:r>
        <w:rPr>
          <w:rFonts w:hint="eastAsia" w:ascii="Times New Roman" w:hAnsi="Times New Roman"/>
        </w:rPr>
        <w:t>立足思想潮头，深化党的创新理论体系化、学理化阐释研究。坚持思政课建设与党的创新理论武装同步推进，用习近平新时代中国特色社会主义思想铸魂育人，是新时代思政课建设的核心任务，也是推动思政课建设内涵式发展的基本原则。习近平新时代中国特色社会主义思想扎根新时代中国特色社会主义的实践沃土，具有很强的政治性和思想性。只有深刻揭示其中蕴含的道理学理哲理，才能发挥科学理论武装头脑的作用。这是将我们党在推动实践创新过程中形成的理论创新成果进一步学理化、体系化的过程。所谓学理化、体系化研究，就是把具体经验升华为普遍规律、从鲜活实践中提炼出基本原理、把政治话语转化为学术表达的研究过程，也是进一步彰显科学理论的彻底性和真理性的过程。唯有经过深入透彻、全面系统的学理化、体系化研究阐释，才能引导学生深刻把握科学理论的核心要义、精神实质、丰富内涵、实践要求，深入理解“为什么行”“为什么能”“为什么好”，极大增强科学理论的现实解释力和思想穿透力。</w:t>
      </w:r>
    </w:p>
    <w:p>
      <w:pPr>
        <w:pStyle w:val="25"/>
        <w:rPr>
          <w:rFonts w:ascii="Times New Roman" w:hAnsi="Times New Roman"/>
        </w:rPr>
      </w:pPr>
      <w:r>
        <w:rPr>
          <w:rFonts w:hint="eastAsia" w:ascii="Times New Roman" w:hAnsi="Times New Roman"/>
        </w:rPr>
        <w:t>深耕思想源头，夯实经典精研精读基本功。理论溯源越深，思想解释力越强。习近平新时代中国特色社会主义思想是当代中国马克思主义、21世纪马克思主义，是中华文化和中国精神的时代精华，是马克思主义中国化、时代化的最新理论创新成果，是马克思主义与中华优秀传统文化相结合的理论结晶。要讲准讲深讲透其思想精髓，必须深耕马克思主义经典著作和中华优秀传统文化典籍的思想源头。一方面，只有将新思想置身于马克思主义本土化时代化的演进历程和历史脉络中，才能讲清楚其与马克思主义基本原理一脉相承又与时俱进的理论品格。思政课教师应精深研读马克思主义经典文本，把握马克思主义的立场观点方法，夯实理论讲授的学理支撑，彰显思政课的学术深度广度。另一方面，要将新时代党的创新理论置于中华文明五千多年的深厚积淀之中，在文化传承发展和文明发展演进的历史进程中深刻理解其深沉的文化基因和文明特性。只有加强对中华优秀传统文化典籍的研究，将“马克思主义基本原理同中华优秀传统文化相结合”的内在机理讲清楚，才能切实引导学生感悟经典内涵、领悟真理魅力，在文化认同中深化理论认同，在历史自信中增强道路自信，充分彰显思政课教学的历史纵深和文化底蕴，有力拓展教学深度与厚度。</w:t>
      </w:r>
    </w:p>
    <w:p>
      <w:pPr>
        <w:pStyle w:val="25"/>
        <w:ind w:firstLine="562"/>
        <w:rPr>
          <w:rFonts w:ascii="Times New Roman" w:hAnsi="Times New Roman"/>
          <w:b/>
          <w:bCs/>
        </w:rPr>
      </w:pPr>
      <w:r>
        <w:rPr>
          <w:rFonts w:hint="eastAsia" w:ascii="Times New Roman" w:hAnsi="Times New Roman"/>
          <w:b/>
          <w:bCs/>
        </w:rPr>
        <w:t>坚持问题导向，厚植课程教材研究根基</w:t>
      </w:r>
    </w:p>
    <w:p>
      <w:pPr>
        <w:pStyle w:val="25"/>
        <w:rPr>
          <w:rFonts w:ascii="Times New Roman" w:hAnsi="Times New Roman"/>
        </w:rPr>
      </w:pPr>
      <w:r>
        <w:rPr>
          <w:rFonts w:hint="eastAsia" w:ascii="Times New Roman" w:hAnsi="Times New Roman"/>
        </w:rPr>
        <w:t>课程教材是教学的基本依据，其内容是思想理论的转化，课程教材研究是思政课内涵式发展的重要前提和基础，研究深度和成效直接影响思政课教学的质量和效果。</w:t>
      </w:r>
    </w:p>
    <w:p>
      <w:pPr>
        <w:pStyle w:val="25"/>
        <w:rPr>
          <w:rFonts w:ascii="Times New Roman" w:hAnsi="Times New Roman"/>
        </w:rPr>
      </w:pPr>
      <w:r>
        <w:rPr>
          <w:rFonts w:hint="eastAsia" w:ascii="Times New Roman" w:hAnsi="Times New Roman"/>
        </w:rPr>
        <w:t>深入研究以习近平新时代中国特色社会主义思想为核心内容的课程教材体系的内在逻辑。习近平新时代中国特色社会主义思想概论课是系统讲授新时代党的创新理论成果的关键课程。要深入研究习近平新时代中国特色社会主义思想概论课程体系的内在逻辑，厘清总论与分领域之间的关系，探索构建核心课程群，为集中、系统讲授习近平新时代中国特色社会主义思想奠定坚实基础。要从纵、横两个维度深入研究各门课程与习近平新时代中国特色社会主义思想概论课程教材之间的关系。横向要深入研究各门课程教材对核心内容的支撑作用，以理论教育、历史教育、文化教育和实践教育夯实核心内容的坚实地基；纵向要深入研究本硕博不同学段螺旋上升、层层递进的内在逻辑，搭建起彰显不同学段思想理论学习进阶攀登的课程阶梯。</w:t>
      </w:r>
    </w:p>
    <w:p>
      <w:pPr>
        <w:pStyle w:val="25"/>
        <w:rPr>
          <w:rFonts w:ascii="Times New Roman" w:hAnsi="Times New Roman"/>
        </w:rPr>
      </w:pPr>
      <w:r>
        <w:rPr>
          <w:rFonts w:hint="eastAsia" w:ascii="Times New Roman" w:hAnsi="Times New Roman"/>
        </w:rPr>
        <w:t>深入研究教材中的重难点理论问题。聚焦育人目标，要推动学术体系向教材体系转化。学术体系以未知为驱动，以研究为主旨，旨在探索学科边界、推动研究范式创新、提出创新发现，重在“原创性”和“真理性”。教材体系以共识为中心，以育人为目标，其任务是将已经验证、形成共识的成熟知识转化为可供传授的知识，重在“确定性”和“共识性”。学术体系与教材体系既密切联系又各有侧重。学术体系着眼于知识体系和理论体系的创新，教材体系侧重运用和依托学术体系达到育人目标。因此，要着眼育人的核心目标，在深入研究知识体系和理论体系的基础上，按照学术体系与价值体系有机统一的原则，推动学术体系向教材体系有机转化，确保思政课教材体系建构体现“道”“学”“术”的有机统一。聚焦重难点问题，推动教材体系向教学体系转化。教材体系是知识体系和理论体系的综合呈现，具有系统性、整体性特征。教学体系着眼教学过程实施和教学目标实现，具有突出的问题针对性。推动教材体系向教学体系转化，必须坚持问题导向，贴近学生实际，以重难点问题为牵引推动理论与实际的有机结合，实现教材体系向教学体系的转化。</w:t>
      </w:r>
    </w:p>
    <w:p>
      <w:pPr>
        <w:pStyle w:val="25"/>
        <w:ind w:firstLine="562"/>
        <w:rPr>
          <w:rFonts w:ascii="Times New Roman" w:hAnsi="Times New Roman"/>
          <w:b/>
          <w:bCs/>
        </w:rPr>
      </w:pPr>
      <w:r>
        <w:rPr>
          <w:rFonts w:hint="eastAsia" w:ascii="Times New Roman" w:hAnsi="Times New Roman"/>
          <w:b/>
          <w:bCs/>
        </w:rPr>
        <w:t>读懂学生心声，厚植教学教法研究根基</w:t>
      </w:r>
    </w:p>
    <w:p>
      <w:pPr>
        <w:pStyle w:val="25"/>
        <w:rPr>
          <w:rFonts w:ascii="Times New Roman" w:hAnsi="Times New Roman"/>
        </w:rPr>
      </w:pPr>
      <w:r>
        <w:rPr>
          <w:rFonts w:hint="eastAsia" w:ascii="Times New Roman" w:hAnsi="Times New Roman"/>
        </w:rPr>
        <w:t>思政课的针对性和吸引力，最终要落实到课堂上。课堂实效的提升，有赖于对学情的精准把握、对教育规律的深刻洞察、对教学方法的持续创新。思政课教学是一项富有创造性的工作，必须打破“教学研究非学术”的认知误区，深入研究“教”与“学”的双重逻辑，才能实现从“内容供给”向“价值转化”的跃升。</w:t>
      </w:r>
    </w:p>
    <w:p>
      <w:pPr>
        <w:pStyle w:val="25"/>
        <w:rPr>
          <w:rFonts w:ascii="Times New Roman" w:hAnsi="Times New Roman"/>
        </w:rPr>
      </w:pPr>
      <w:r>
        <w:rPr>
          <w:rFonts w:hint="eastAsia" w:ascii="Times New Roman" w:hAnsi="Times New Roman"/>
        </w:rPr>
        <w:t>深入研究青少年思想特点和认知规律，夯实学情研究根基。“因材施教”“以学定教”是教育的核心理念，学情研究则是教学的底座基石。面对成长于人工智能浪潮中的青年学生，只有深入研究、精准把握代际变迁与技术革命共同驱动的学情深刻变化，读懂学生心声，才能走好思政课的“入心”之路。新时代青少年生逢强国建设、民族复兴最好历史时期，思维活跃、主体意识强，但面对各种思潮交织激荡的环境，也易产生思想困惑。思政课教学必须建立在对学生认知规律和接受特点的科学研究之上，运用科学的方法捕捉学生的思想堵点、理论疑点、情感痛点。同时，合理利用AI技术进行学习行为数据分析，从“经验判断”转向“数据驱动”，进一步推动“以学为中心”的教学变革，实现从知识传授向能力培养、价值塑造的转变。</w:t>
      </w:r>
    </w:p>
    <w:p>
      <w:pPr>
        <w:pStyle w:val="25"/>
        <w:rPr>
          <w:rFonts w:ascii="Times New Roman" w:hAnsi="Times New Roman"/>
        </w:rPr>
      </w:pPr>
      <w:r>
        <w:rPr>
          <w:rFonts w:hint="eastAsia" w:ascii="Times New Roman" w:hAnsi="Times New Roman"/>
        </w:rPr>
        <w:t>深入研究思政课教育教学规律，推动教学教法创新，掌握“知—信—行”的转化规律。思政课的目标不是知识传授本身，而是通过知识传授实现价值引领和行为自觉，引导学生从“真学”到“真懂”再到“真信”“真用”。思政课教学不能是生硬说教，而是要以启发式教育引导学生发现问题、分析问题、思考问题，在不断启发中让学生水到渠成得出结论。要认识到，教育教学规律的总结，服务于教育教学方法的守正创新。要推动“把道理讲深讲透讲活”的方法论转化。“讲深”靠理论深耕，“讲透”靠逻辑贯通，“讲活”靠实践激活。着力研究将抽象理论转化为具象叙事、将宏大叙事转化为微观关切、将党的创新理论转化为青年话语的方法机理。还要自觉运用数智技术赋能教学方法创新。面对AI时代的学习者，思政课需主动拥抱技术变革，注重案例式、探究式、体验式教学的有机组合，让学生在充满生机活力的课堂场景中汲取真理力量。</w:t>
      </w:r>
    </w:p>
    <w:p>
      <w:pPr>
        <w:pStyle w:val="25"/>
        <w:rPr>
          <w:rFonts w:ascii="Times New Roman" w:hAnsi="Times New Roman" w:cs="宋体"/>
        </w:rPr>
      </w:pPr>
      <w:r>
        <w:rPr>
          <w:rFonts w:hint="eastAsia" w:ascii="Times New Roman" w:hAnsi="Times New Roman" w:cs="宋体"/>
        </w:rPr>
        <w:t>（摘编自《光明日报》202</w:t>
      </w:r>
      <w:r>
        <w:rPr>
          <w:rFonts w:ascii="Times New Roman" w:hAnsi="Times New Roman" w:cs="宋体"/>
        </w:rPr>
        <w:t>6</w:t>
      </w:r>
      <w:r>
        <w:rPr>
          <w:rFonts w:hint="eastAsia" w:ascii="Times New Roman" w:hAnsi="Times New Roman" w:cs="宋体"/>
        </w:rPr>
        <w:t>年</w:t>
      </w:r>
      <w:r>
        <w:rPr>
          <w:rFonts w:ascii="Times New Roman" w:hAnsi="Times New Roman" w:cs="宋体"/>
        </w:rPr>
        <w:t>0</w:t>
      </w:r>
      <w:r>
        <w:rPr>
          <w:rFonts w:hint="eastAsia" w:ascii="Times New Roman" w:hAnsi="Times New Roman" w:cs="宋体"/>
        </w:rPr>
        <w:t>3月</w:t>
      </w:r>
      <w:r>
        <w:rPr>
          <w:rFonts w:ascii="Times New Roman" w:hAnsi="Times New Roman" w:cs="宋体"/>
        </w:rPr>
        <w:t>1</w:t>
      </w:r>
      <w:r>
        <w:rPr>
          <w:rFonts w:hint="eastAsia" w:ascii="Times New Roman" w:hAnsi="Times New Roman" w:cs="宋体"/>
        </w:rPr>
        <w:t>7日第15版）</w:t>
      </w:r>
      <w:bookmarkEnd w:id="4"/>
    </w:p>
    <w:p>
      <w:pPr>
        <w:pStyle w:val="25"/>
        <w:rPr>
          <w:rFonts w:ascii="Times New Roman" w:hAnsi="Times New Roman" w:cs="宋体"/>
        </w:rPr>
      </w:pPr>
    </w:p>
    <w:p>
      <w:pPr>
        <w:pStyle w:val="24"/>
        <w:ind w:firstLine="643"/>
        <w:jc w:val="both"/>
        <w:rPr>
          <w:rFonts w:hint="default" w:ascii="Times New Roman" w:hAnsi="Times New Roman" w:eastAsiaTheme="majorEastAsia" w:cstheme="majorEastAsia"/>
          <w:color w:val="auto"/>
        </w:rPr>
      </w:pPr>
      <w:bookmarkStart w:id="5" w:name="_Toc22572171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学习时报：促进思政课堂和社会课堂有效融合</w:t>
      </w:r>
      <w:bookmarkEnd w:id="5"/>
    </w:p>
    <w:p>
      <w:pPr>
        <w:pStyle w:val="25"/>
        <w:rPr>
          <w:rFonts w:ascii="Times New Roman" w:hAnsi="Times New Roman"/>
        </w:rPr>
      </w:pPr>
      <w:r>
        <w:rPr>
          <w:rFonts w:hint="eastAsia" w:ascii="Times New Roman" w:hAnsi="Times New Roman"/>
        </w:rPr>
        <w:t>“十五五”规划纲要提出“促进思政课堂和社会课堂有效融合”，为深化“大思政课”建设指明了方向。思政课堂和社会课堂有效融合，通常是指将理论教学与社会实践深度结合，实现知行合一，增强思想政治教育的针对性和实效性。比如，北京市设立北大红楼、香山革命纪念馆等200多个实践教学基地，引导学生用脚步丈量古都文脉，将厚重历史文化转化为思政教育内容；山东大学把思政课堂搬上刘公岛，让青年学子在触摸甲午战争的痕迹中聆听“开学第一课”。这些鲜活事例，正是对“促进思政课堂和社会课堂有效融合”要求的生动诠释。作为人才培养重要阵地，高校更要推动“两个课堂”融合走深走实，让思政教育从“单向灌输”转向“双向奔赴”，为新征程上全面推进教育强国建设、推进中国式现代化提供有力支撑。</w:t>
      </w:r>
    </w:p>
    <w:p>
      <w:pPr>
        <w:pStyle w:val="25"/>
        <w:ind w:firstLine="562"/>
        <w:rPr>
          <w:rFonts w:ascii="Times New Roman" w:hAnsi="Times New Roman"/>
          <w:b/>
        </w:rPr>
      </w:pPr>
      <w:r>
        <w:rPr>
          <w:rFonts w:hint="eastAsia" w:ascii="Times New Roman" w:hAnsi="Times New Roman"/>
          <w:b/>
        </w:rPr>
        <w:t>“两个课堂”相融合有何意义</w:t>
      </w:r>
    </w:p>
    <w:p>
      <w:pPr>
        <w:pStyle w:val="25"/>
        <w:rPr>
          <w:rFonts w:ascii="Times New Roman" w:hAnsi="Times New Roman"/>
        </w:rPr>
      </w:pPr>
      <w:r>
        <w:rPr>
          <w:rFonts w:hint="eastAsia" w:ascii="Times New Roman" w:hAnsi="Times New Roman"/>
        </w:rPr>
        <w:t>坚持马克思主义实践观的题中之义。习近平总书记强调，要“重视思政课的实践性，把思政小课堂同社会大课堂结合起来”，“思政课不仅应该在课堂上讲，也应该在社会生活中来讲”。“十五五”规划纲要强调“两个课堂”融合的要求，是马克思主义实践观在高校思政课中的体现和要求。通过推动思政课从校园走向社会，再把生动实践带回课堂教学，既保持理论深度又充满现实温度，形成一个理论与实践相互滋养的闭环。这有助于破解思政教育“两张皮”问题，进一步引导学生感悟党的创新理论的真理价值和实践伟力。</w:t>
      </w:r>
    </w:p>
    <w:p>
      <w:pPr>
        <w:pStyle w:val="25"/>
        <w:rPr>
          <w:rFonts w:ascii="Times New Roman" w:hAnsi="Times New Roman"/>
        </w:rPr>
      </w:pPr>
      <w:r>
        <w:rPr>
          <w:rFonts w:hint="eastAsia" w:ascii="Times New Roman" w:hAnsi="Times New Roman"/>
        </w:rPr>
        <w:t>落实立德树人根本任务的内在要求。党的十八大以来，党和政府多次强调坚持教育同生产劳动和社会实践相结合，为“两个课堂”融合提供了政策依据。高校思政课是落实立德树人根本任务的关键课程，不仅要传授知识，更要塑造情感与价值。思政小课堂重在立德，是传授理论、明辨是非和构建价值基础的主阵地，社会大课堂重在树人，是磨炼意志、锤炼品格和提升实践能力的练兵场，两者有机结合构建“知行合一”的育人闭环，是锻造立德树人关键课程的必然选择，也是对“培养什么人、怎样培养人”的时代作答。</w:t>
      </w:r>
    </w:p>
    <w:p>
      <w:pPr>
        <w:pStyle w:val="25"/>
        <w:rPr>
          <w:rFonts w:ascii="Times New Roman" w:hAnsi="Times New Roman"/>
        </w:rPr>
      </w:pPr>
      <w:r>
        <w:rPr>
          <w:rFonts w:hint="eastAsia" w:ascii="Times New Roman" w:hAnsi="Times New Roman"/>
        </w:rPr>
        <w:t>遵循思政课教育规律的重要体现。随着时代发展，教育也在不断变革。当前，各地高校为提升思政教育的亲和力和针对性，纷纷构建“行走的育人场域”，着力打造“大思政课”品牌，把思政课搬到中国式现代化的火热实践中，把党的创新理论融入思政课堂，让学生在思政课堂上领悟理论逻辑，在社会课堂中践行实践要求，推动实现大学生思想自觉与行动自觉的同频共振。这是把握信息时代青年学生思想行为特点的基本要求，是符合思政教育规律的实践探索，也是当前教育改革的一个核心方向。</w:t>
      </w:r>
    </w:p>
    <w:p>
      <w:pPr>
        <w:pStyle w:val="25"/>
        <w:rPr>
          <w:rFonts w:ascii="Times New Roman" w:hAnsi="Times New Roman"/>
        </w:rPr>
      </w:pPr>
      <w:r>
        <w:rPr>
          <w:rFonts w:hint="eastAsia" w:ascii="Times New Roman" w:hAnsi="Times New Roman"/>
        </w:rPr>
        <w:t>培养时代新人的有力举措。青年一代是强国建设、民族复兴的生力军。推动“两个课堂”相融合，能够更好地满足青年学生成长成才的需求，其中思政小课堂侧重理论知识传授，社会大课堂锤炼实践能力，提高大学生的综合素质，培养既具家国情怀又具实践能力的复合型人才。同时，通过凝聚强大的思政引领力，解决大学生的成长困惑和青春迷茫，引导他们坚定理想信念，筑牢精神根基，树立与时代同心同向的远大理想和崇高信念，在知行合一中成长为担当民族复兴大任的时代新人。</w:t>
      </w:r>
    </w:p>
    <w:p>
      <w:pPr>
        <w:pStyle w:val="25"/>
        <w:ind w:firstLine="562"/>
        <w:rPr>
          <w:rFonts w:ascii="Times New Roman" w:hAnsi="Times New Roman"/>
          <w:b/>
        </w:rPr>
      </w:pPr>
      <w:r>
        <w:rPr>
          <w:rFonts w:hint="eastAsia" w:ascii="Times New Roman" w:hAnsi="Times New Roman"/>
          <w:b/>
        </w:rPr>
        <w:t>如何促进“两个课堂”有效融合</w:t>
      </w:r>
    </w:p>
    <w:p>
      <w:pPr>
        <w:pStyle w:val="25"/>
        <w:rPr>
          <w:rFonts w:ascii="Times New Roman" w:hAnsi="Times New Roman"/>
        </w:rPr>
      </w:pPr>
      <w:r>
        <w:rPr>
          <w:rFonts w:hint="eastAsia" w:ascii="Times New Roman" w:hAnsi="Times New Roman"/>
        </w:rPr>
        <w:t>教学内容与社会实践的有机结合。在理念层面，要树立大思政育人观，明确实践教学的重要地位，将实践教学纳入课程体系和教学内容。首先，思政教育不可仅限于理论知识的讲授，而要将理论知识与社会热点、时事政治、经济发展、文化传承等现实问题相结合，把抽象的道理具象化，增强思政课的解释力、感染力。其次，针对不同大学生的专业背景，制定具体明确的“思政+专业”融合模式，如人文类学生聚焦文化传承，社科类学生探究社会治理，农学类学生深耕乡村振兴，医学类学生面向基层巡诊，理工类学生参与技术攻关，引导他们在实践探索中体悟理论知识的应用场景和现实价值。</w:t>
      </w:r>
    </w:p>
    <w:p>
      <w:pPr>
        <w:pStyle w:val="25"/>
        <w:rPr>
          <w:rFonts w:ascii="Times New Roman" w:hAnsi="Times New Roman"/>
        </w:rPr>
      </w:pPr>
      <w:r>
        <w:rPr>
          <w:rFonts w:hint="eastAsia" w:ascii="Times New Roman" w:hAnsi="Times New Roman"/>
        </w:rPr>
        <w:t>教学方法的创新和多样化。思政教育的本质是讲道理，要注重方式方法。目前，在方法层面应打破理论说教与现实感知的壁垒，创新“理论+实践”教学模式。通过开展多样化的教学互动，如小组讨论、案例分析、课堂辩论、情景模拟等，激发青年学生的学习兴趣和主动参与；同时，创新实践活动形式，如志愿服务、社会调研、红色教育等，引导大学生关注社会现实和热点问题，提高他们对理论知识的深度理解和应用能力。此外，新媒体新技术打破传统课堂的时空限制，要善用虚拟现实（VR）、增强现实（AR）、在线教育平台等数字化手段，充分活化思政课场景，让科技赋能新时代育人工程。</w:t>
      </w:r>
    </w:p>
    <w:p>
      <w:pPr>
        <w:pStyle w:val="25"/>
        <w:rPr>
          <w:rFonts w:ascii="Times New Roman" w:hAnsi="Times New Roman"/>
        </w:rPr>
      </w:pPr>
      <w:r>
        <w:rPr>
          <w:rFonts w:hint="eastAsia" w:ascii="Times New Roman" w:hAnsi="Times New Roman"/>
        </w:rPr>
        <w:t>实践基地的建设与利用。教育部等十部门印发《全面推进“大思政课”建设的工作方案》，明确要求充分调动社会资源，加强基地建设。高校应加强与社区、企业、政府机构等实践育人主体的合作，通过签署共建协议，建立如博物馆、展览馆、纪念馆、爱国主义教育基地等稳定的社会实践教学场所，为大学生提供丰富的实践资源和机会。同时，还应结合专业特色、校园特色、地方特色等资源，用好校内校外、线上线下等多种实践育人平台，鼓励青年学生积极参与志愿服务、社会调研、实习实训等社会实践，强化理论与实践的结合，在服务社会中培养当代青年的社会责任感和奉献精神。</w:t>
      </w:r>
    </w:p>
    <w:p>
      <w:pPr>
        <w:pStyle w:val="25"/>
        <w:rPr>
          <w:rFonts w:ascii="Times New Roman" w:hAnsi="Times New Roman"/>
        </w:rPr>
      </w:pPr>
      <w:r>
        <w:rPr>
          <w:rFonts w:hint="eastAsia" w:ascii="Times New Roman" w:hAnsi="Times New Roman"/>
        </w:rPr>
        <w:t>师资队伍的培养与激励。习近平总书记强调，“办好思想政治理论课关键在教师”。促进“两个课堂”融合，要着力培养一支具备深厚理论功底和丰富实践经验的思政课教师队伍。通过建立常态化培训机制，加强思政课教师将社会实践融入课堂教学的业务培训，提高他们将社会大课堂中的真实场景、现实案例融入思政小课堂的实践经验和教学能力；依托名师工作室、跨校联盟，推动资源共享与成果共创，将理论传授从教室方寸地延伸到社会大舞台，助力青年教师成长；建立健全思政课教师激励机制，奖励在“两个课堂”融合中表现突出的教师，激发其进一步探索深度融合的积极性和创造力。</w:t>
      </w:r>
    </w:p>
    <w:p>
      <w:pPr>
        <w:pStyle w:val="25"/>
        <w:rPr>
          <w:rFonts w:ascii="Times New Roman" w:hAnsi="Times New Roman"/>
        </w:rPr>
      </w:pPr>
      <w:r>
        <w:rPr>
          <w:rFonts w:hint="eastAsia" w:ascii="Times New Roman" w:hAnsi="Times New Roman"/>
        </w:rPr>
        <w:t>评价与反馈机制的完善。传统评价方式往往侧重于理论知识考核，而忽视对学生实践能力和综合素质的评价。回应新时代人才培养需求，“两个课堂”融合下的评价机制应突出对思政课的教学效果和实践成果进行全面客观评价。一是评价方式要多样化，包括学生自评、生生互评、教师评价以及实践单位评价等，同时将思政课实践情况等纳入综合素质评价，确保教学质量和育人效果；二是要完善有效的实践教学反馈机制，及时了解学生在实践中遇到的问题和教师在融合中的困惑，为改进实践教学和提升教学质量提供依据。</w:t>
      </w:r>
    </w:p>
    <w:p>
      <w:pPr>
        <w:pStyle w:val="25"/>
        <w:rPr>
          <w:rFonts w:ascii="Times New Roman" w:hAnsi="Times New Roman"/>
        </w:rPr>
      </w:pPr>
      <w:r>
        <w:rPr>
          <w:rFonts w:hint="eastAsia" w:ascii="Times New Roman" w:hAnsi="Times New Roman"/>
        </w:rPr>
        <w:t>政策与制度的有力保障。促进“两个课堂”有效融合不是简单叠加，高校需加强统一部署和组织领导。例如，制定具体的政策和制度，明确融合的目标、任务和要求；提供必要的教学经费和物资支持，保障思政课实践教学常态化；加强检查和评估工作，总结经验、查漏补缺，确保各项政策措施有效落实；在制度安排上鼓励思政课教师与专业课教师、行政人员、辅导员等结对合作，共同开展实践教学活动；借助社会力量，与校外实践育人主体建立协作关系，形成协同育人合力，共同为青年学生的成长发展奠定坚实基础。</w:t>
      </w:r>
    </w:p>
    <w:p>
      <w:pPr>
        <w:pStyle w:val="25"/>
        <w:wordWrap w:val="0"/>
        <w:rPr>
          <w:rFonts w:ascii="Times New Roman" w:hAnsi="Times New Roman"/>
        </w:rPr>
      </w:pPr>
      <w:r>
        <w:rPr>
          <w:rFonts w:hint="eastAsia" w:ascii="Times New Roman" w:hAnsi="Times New Roman"/>
        </w:rPr>
        <w:t>（摘编自学习时报网站202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3月</w:t>
      </w:r>
      <w:r>
        <w:rPr>
          <w:rFonts w:ascii="Times New Roman" w:hAnsi="Times New Roman"/>
        </w:rPr>
        <w:t>20</w:t>
      </w:r>
      <w:r>
        <w:rPr>
          <w:rFonts w:hint="eastAsia" w:ascii="Times New Roman" w:hAnsi="Times New Roman"/>
        </w:rPr>
        <w:t>日</w:t>
      </w:r>
      <w:r>
        <w:rPr>
          <w:rFonts w:ascii="Times New Roman" w:hAnsi="Times New Roman"/>
        </w:rPr>
        <w:t>https://www.studytimes.cn/whjy/202603/t20260320_86718.html</w:t>
      </w:r>
      <w:r>
        <w:rPr>
          <w:rFonts w:hint="eastAsia" w:ascii="Times New Roman" w:hAnsi="Times New Roman"/>
        </w:rPr>
        <w:t>）</w:t>
      </w:r>
    </w:p>
    <w:p>
      <w:pPr>
        <w:rPr>
          <w:rFonts w:ascii="Times New Roman" w:hAnsi="Times New Roman"/>
        </w:rPr>
      </w:pPr>
      <w:r>
        <w:rPr>
          <w:rFonts w:hint="eastAsia" w:ascii="Times New Roman" w:hAnsi="Times New Roman"/>
        </w:rPr>
        <w:br w:type="page"/>
      </w:r>
    </w:p>
    <w:p>
      <w:pPr>
        <w:pStyle w:val="40"/>
        <w:rPr>
          <w:rFonts w:ascii="Times New Roman" w:hAnsi="Times New Roman"/>
        </w:rPr>
      </w:pPr>
      <w:bookmarkStart w:id="6" w:name="_Toc225721711"/>
      <w:bookmarkStart w:id="7" w:name="_Toc950"/>
      <w:bookmarkStart w:id="8" w:name="_Toc10614"/>
      <w:bookmarkStart w:id="9" w:name="_Hlk96953613"/>
      <w:bookmarkStart w:id="10" w:name="_Toc112870527"/>
      <w:r>
        <w:rPr>
          <w:rFonts w:hint="eastAsia" w:ascii="Times New Roman" w:hAnsi="Times New Roman"/>
        </w:rPr>
        <w:t>【两会聚焦】</w:t>
      </w:r>
      <w:bookmarkEnd w:id="6"/>
    </w:p>
    <w:p>
      <w:pPr>
        <w:pStyle w:val="25"/>
        <w:widowControl/>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27" w:name="_GoBack"/>
      <w:bookmarkEnd w:id="27"/>
      <w:bookmarkStart w:id="11" w:name="OLE_LINK2"/>
      <w:bookmarkStart w:id="12" w:name="_Toc225721712"/>
      <w:r>
        <w:rPr>
          <w:rFonts w:ascii="Times New Roman" w:hAnsi="Times New Roman" w:eastAsiaTheme="majorEastAsia" w:cstheme="majorEastAsia"/>
          <w:color w:val="auto"/>
        </w:rPr>
        <w:sym w:font="Wingdings" w:char="F075"/>
      </w:r>
      <w:bookmarkEnd w:id="11"/>
      <w:r>
        <w:rPr>
          <w:rFonts w:ascii="Times New Roman" w:hAnsi="Times New Roman" w:eastAsiaTheme="majorEastAsia" w:cstheme="majorEastAsia"/>
          <w:color w:val="auto"/>
        </w:rPr>
        <w:t>教育之弦：未来五年，教育这么干！“十五五”规划纲要作出部署</w:t>
      </w:r>
      <w:bookmarkEnd w:id="12"/>
    </w:p>
    <w:p>
      <w:pPr>
        <w:pStyle w:val="25"/>
        <w:widowControl/>
        <w:rPr>
          <w:rFonts w:ascii="Times New Roman" w:hAnsi="Times New Roman"/>
        </w:rPr>
      </w:pPr>
      <w:r>
        <w:rPr>
          <w:rFonts w:hint="eastAsia" w:ascii="Times New Roman" w:hAnsi="Times New Roman"/>
        </w:rPr>
        <w:t>3月13日，《中华人民共和国国民经济和社会发展第十五个五年规划纲要》发布。“十五五”期间，教育怎么干？纲要共分为18篇。</w:t>
      </w:r>
    </w:p>
    <w:p>
      <w:pPr>
        <w:pStyle w:val="25"/>
        <w:widowControl/>
        <w:rPr>
          <w:rFonts w:ascii="Times New Roman" w:hAnsi="Times New Roman"/>
        </w:rPr>
      </w:pPr>
      <w:r>
        <w:rPr>
          <w:rFonts w:hint="eastAsia" w:ascii="Times New Roman" w:hAnsi="Times New Roman"/>
        </w:rPr>
        <w:t>在第一篇“奋力开创中国式现代化建设新局面”第三章“主要目标”中提出：教育科技人才一体发展格局基本形成。劳动年龄人口平均受教育年限提高到11.7年。</w:t>
      </w:r>
    </w:p>
    <w:p>
      <w:pPr>
        <w:pStyle w:val="25"/>
        <w:widowControl/>
        <w:rPr>
          <w:rFonts w:ascii="Times New Roman" w:hAnsi="Times New Roman"/>
        </w:rPr>
      </w:pPr>
      <w:r>
        <w:rPr>
          <w:rFonts w:hint="eastAsia" w:ascii="Times New Roman" w:hAnsi="Times New Roman"/>
        </w:rPr>
        <w:t>在第三篇“加快高水平科技自立自强 引领发展新质生产力”中，规划纲要提出：统筹教育强国、科技强国、人才强国建设，提升国家创新体系整体效能，全面增强自主创新能力，抢占科技发展制高点，推动科技创新和产业创新深度融合，不断催生新质生产力。</w:t>
      </w:r>
    </w:p>
    <w:p>
      <w:pPr>
        <w:pStyle w:val="25"/>
        <w:widowControl/>
        <w:rPr>
          <w:rFonts w:ascii="Times New Roman" w:hAnsi="Times New Roman"/>
        </w:rPr>
      </w:pPr>
      <w:r>
        <w:rPr>
          <w:rFonts w:hint="eastAsia" w:ascii="Times New Roman" w:hAnsi="Times New Roman"/>
        </w:rPr>
        <w:t>支持高水平研究型大学创造一流学术环境，打造基础研究主力军和人才培养主阵地。优化高校、科研院所、科技社团对外专业交流合作管理机制。鼓励企业面向产业需求与高校、科研院所联合开展科研攻关。深化职务科技成果赋权改革，建立职务科技成果资产单列管理制度，推进技术转移体系建设，加快科技成果高效转化应用。引导高校、科研院所按照先使用后付费方式把科技创新成果许可给中小微企业使用。</w:t>
      </w:r>
    </w:p>
    <w:p>
      <w:pPr>
        <w:pStyle w:val="25"/>
        <w:widowControl/>
        <w:rPr>
          <w:rFonts w:ascii="Times New Roman" w:hAnsi="Times New Roman"/>
        </w:rPr>
      </w:pPr>
      <w:r>
        <w:rPr>
          <w:rFonts w:hint="eastAsia" w:ascii="Times New Roman" w:hAnsi="Times New Roman"/>
        </w:rPr>
        <w:t>一体推进教育科技人才发展。深化教育科技人才一体改革，强化规划衔接、政策协同、资源统筹、评价联动，促进科技自主创新和人才自主培养良性互动。建立健全一体推进的协调机制。健全教育科技人才战略统筹实施机制，加强战略目标有机衔接、战略任务一体部署、政策措施协调发力、资源要素统筹配置，推动教育科技人才平台基地协同布局，建设具有全球影响力的教育中心、科学中心、人才中心。在有条件的地方探索建立教育科技人才统筹管理机制。协同推进创新型人才培养。围绕科技创新、产业发展和国家战略需求协同育人，提高人才自主培养质量。聚焦优势学科和战略急需适度扩大“双一流”建设范围，新建若干所新型研究型大学。健全高等教育学科专业设置调整机制，超常规布局人工智能、集成电路等新兴领域急需学科专业，深入实施基础学科和交叉学科突破计划。强化科研机构、创新平台、企业、科技计划人才集聚培养功能，招生指标向重大科技任务承担单位倾斜。探索拔尖创新人才培养新模式，加强青少年科学素养、批判性思维和创新能力培养，强化科技教育和人文教育协同，加强基础学科、交叉学科和战略急需领域本硕博衔接培养。</w:t>
      </w:r>
    </w:p>
    <w:p>
      <w:pPr>
        <w:pStyle w:val="25"/>
        <w:widowControl/>
        <w:rPr>
          <w:rFonts w:ascii="Times New Roman" w:hAnsi="Times New Roman"/>
        </w:rPr>
      </w:pPr>
      <w:r>
        <w:rPr>
          <w:rFonts w:hint="eastAsia" w:ascii="Times New Roman" w:hAnsi="Times New Roman"/>
        </w:rPr>
        <w:t>在第七篇“扩大高水平对外开放 开创合作共赢新局面”中，规划纲要提出：拓展与共建国家文化、教育、考古、体育等领域人文交流渠道，高质量实施“一带一路”科技创新行动计划。</w:t>
      </w:r>
    </w:p>
    <w:p>
      <w:pPr>
        <w:pStyle w:val="25"/>
        <w:widowControl/>
        <w:rPr>
          <w:rFonts w:ascii="Times New Roman" w:hAnsi="Times New Roman"/>
        </w:rPr>
      </w:pPr>
      <w:r>
        <w:rPr>
          <w:rFonts w:hint="eastAsia" w:ascii="Times New Roman" w:hAnsi="Times New Roman"/>
        </w:rPr>
        <w:t>在第十篇“激发全民族文化创新创造活力 繁荣发展社会主义文化”中，规划纲要提出：加强和改进思想政治工作，推进校园文化建设，用好红色资源，加强青少年理想信念教育；加强新时代公民道德建设，大力弘扬社会公德、职业道德、家庭美德、个人品德，加强家庭家教家风建设，强化未成年人思想道德建设。</w:t>
      </w:r>
    </w:p>
    <w:p>
      <w:pPr>
        <w:pStyle w:val="25"/>
        <w:widowControl/>
        <w:rPr>
          <w:rFonts w:ascii="Times New Roman" w:hAnsi="Times New Roman"/>
        </w:rPr>
      </w:pPr>
      <w:r>
        <w:rPr>
          <w:rFonts w:hint="eastAsia" w:ascii="Times New Roman" w:hAnsi="Times New Roman"/>
        </w:rPr>
        <w:t>第三十八章专章提出，办好人民满意的教育：</w:t>
      </w:r>
    </w:p>
    <w:p>
      <w:pPr>
        <w:pStyle w:val="25"/>
        <w:rPr>
          <w:rFonts w:ascii="Times New Roman" w:hAnsi="Times New Roman"/>
        </w:rPr>
      </w:pPr>
      <w:r>
        <w:rPr>
          <w:rFonts w:hint="eastAsia" w:ascii="Times New Roman" w:hAnsi="Times New Roman"/>
        </w:rPr>
        <w:t>坚持教育优先发展，落实立德树人根本任务，深化教育综合改革，健全与人口变化相适应的教育资源配置机制，建设高质量教育体系，培养德智体美劳全面发展的社会主义建设者和接班人。</w:t>
      </w:r>
    </w:p>
    <w:p>
      <w:pPr>
        <w:pStyle w:val="25"/>
        <w:widowControl/>
        <w:rPr>
          <w:rFonts w:ascii="Times New Roman" w:hAnsi="Times New Roman"/>
        </w:rPr>
      </w:pPr>
      <w:r>
        <w:rPr>
          <w:rFonts w:hint="eastAsia" w:ascii="Times New Roman" w:hAnsi="Times New Roman"/>
        </w:rPr>
        <w:t>实施新时代立德树人工程。坚持不懈用习近平新时代中国特色社会主义思想铸魂育人，加强“大思政课”建设，完善课程教材体系，全面实施新时代高校思政课课程方案，深入实施素质教育，促进学生健康成长、全面发展。创新实践育人形式，建设大学生社会实践专门课程，建立中小学校国情研学制度，促进思政课堂和社会课堂有效融合。实施学生体质强健计划，开展学校美育浸润行动、劳动习惯养成计划，普及心理健康教育。完善覆盖全学段学生资助体系。实施国家通用语言文字普及攻坚和质量提升行动。弘扬教育家精神，强化师德师风建设和教师待遇保障，实施教师教育能力提升工程，培养造就高水平教师队伍。健全学校家庭社会协同育人机制。深化教育评价改革，建立差异化管理和评价机制。引导规范民办教育发展。</w:t>
      </w:r>
    </w:p>
    <w:p>
      <w:pPr>
        <w:pStyle w:val="25"/>
        <w:widowControl/>
        <w:rPr>
          <w:rFonts w:ascii="Times New Roman" w:hAnsi="Times New Roman"/>
        </w:rPr>
      </w:pPr>
      <w:r>
        <w:rPr>
          <w:rFonts w:hint="eastAsia" w:ascii="Times New Roman" w:hAnsi="Times New Roman"/>
        </w:rPr>
        <w:t>推动高等教育提质扩容。按照研究型、应用型、技能型等基本办学定位，分类推进高校改革发展。以理工农医类专业为主有序扩大优质本科教育招生规模和研究生培养规模，高等教育毛入学率达到65%，稳步提高本科招生比例和研究生教育层次占高等教育在校生比例。大力发展专业学位研究生教育，提高工程硕博士培养比重。多渠道扩大优质高等教育资源，加大高水平研究型大学建设力度，建强应用型本科高校。新增高等教育资源适度向人口大省和中西部地区倾斜。研究适时调整本科生人均教育经费标准，持续改善学生宿舍等基本办学条件。扩大高水平教育对外开放，鼓励国外高水平理工类大学来华合作办学，加强“留学中国”品牌和能力建设。深入实施教育数字化战略。优化终身学习公共服务，完善国家开放大学体系。</w:t>
      </w:r>
    </w:p>
    <w:p>
      <w:pPr>
        <w:pStyle w:val="25"/>
        <w:rPr>
          <w:rFonts w:ascii="Times New Roman" w:hAnsi="Times New Roman"/>
        </w:rPr>
      </w:pPr>
      <w:r>
        <w:rPr>
          <w:rFonts w:hint="eastAsia" w:ascii="Times New Roman" w:hAnsi="Times New Roman"/>
        </w:rPr>
        <w:t>在第十二篇“加大保障和改善民生力度 扎实推进全体人民共同富裕”中，规划纲要提出：稳定和扩大高校毕业生、农民工、退役军人等重点群体就业；制定实施儿童伤害防控行动计划，强化未成年人违法犯罪预防和治理，有效防治学生欺凌；加强未成年人网络保护，拓展网络育人空间和阵地。</w:t>
      </w:r>
    </w:p>
    <w:p>
      <w:pPr>
        <w:pStyle w:val="25"/>
        <w:rPr>
          <w:rFonts w:ascii="Times New Roman" w:hAnsi="Times New Roman"/>
        </w:rPr>
      </w:pPr>
      <w:r>
        <w:rPr>
          <w:rFonts w:ascii="Times New Roman" w:hAnsi="Times New Roman"/>
        </w:rPr>
        <w:t>（</w:t>
      </w:r>
      <w:bookmarkStart w:id="13" w:name="OLE_LINK5"/>
      <w:r>
        <w:rPr>
          <w:rFonts w:hint="eastAsia" w:ascii="Times New Roman" w:hAnsi="Times New Roman" w:cs="宋体"/>
        </w:rPr>
        <w:t>摘编自“教育之弦”微信公众号网站202</w:t>
      </w:r>
      <w:r>
        <w:rPr>
          <w:rFonts w:ascii="Times New Roman" w:hAnsi="Times New Roman" w:cs="宋体"/>
        </w:rPr>
        <w:t>6</w:t>
      </w:r>
      <w:r>
        <w:rPr>
          <w:rFonts w:hint="eastAsia" w:ascii="Times New Roman" w:hAnsi="Times New Roman" w:cs="宋体"/>
        </w:rPr>
        <w:t>年</w:t>
      </w:r>
      <w:r>
        <w:rPr>
          <w:rFonts w:ascii="Times New Roman" w:hAnsi="Times New Roman" w:cs="宋体"/>
        </w:rPr>
        <w:t>0</w:t>
      </w:r>
      <w:r>
        <w:rPr>
          <w:rFonts w:hint="eastAsia" w:ascii="Times New Roman" w:hAnsi="Times New Roman" w:cs="宋体"/>
        </w:rPr>
        <w:t>3月</w:t>
      </w:r>
      <w:r>
        <w:rPr>
          <w:rFonts w:ascii="Times New Roman" w:hAnsi="Times New Roman" w:cs="宋体"/>
        </w:rPr>
        <w:t>1</w:t>
      </w:r>
      <w:r>
        <w:rPr>
          <w:rFonts w:hint="eastAsia" w:ascii="Times New Roman" w:hAnsi="Times New Roman" w:cs="宋体"/>
        </w:rPr>
        <w:t>6日https://mp.weixin.qq.com/s/tnLHVrOnDGcgkI4n92gYUA</w:t>
      </w:r>
      <w:bookmarkEnd w:id="13"/>
      <w:r>
        <w:rPr>
          <w:rFonts w:ascii="Times New Roman" w:hAnsi="Times New Roman"/>
        </w:rPr>
        <w:t>）</w:t>
      </w:r>
    </w:p>
    <w:p>
      <w:pPr>
        <w:pStyle w:val="25"/>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4" w:name="_Toc225721713"/>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中国教育报：引导高校在各自赛道各展所长</w:t>
      </w:r>
      <w:bookmarkEnd w:id="14"/>
    </w:p>
    <w:p>
      <w:pPr>
        <w:pStyle w:val="25"/>
        <w:widowControl/>
        <w:rPr>
          <w:rFonts w:ascii="Times New Roman" w:hAnsi="Times New Roman"/>
        </w:rPr>
      </w:pPr>
      <w:r>
        <w:rPr>
          <w:rFonts w:hint="eastAsia" w:ascii="Times New Roman" w:hAnsi="Times New Roman"/>
        </w:rPr>
        <w:t>高校改革要避免“千校一面”、同质化发展，“全能选手”和“单项冠军”都不可或缺</w:t>
      </w:r>
    </w:p>
    <w:p>
      <w:pPr>
        <w:pStyle w:val="25"/>
        <w:widowControl/>
        <w:rPr>
          <w:rFonts w:ascii="Times New Roman" w:hAnsi="Times New Roman"/>
        </w:rPr>
      </w:pPr>
      <w:r>
        <w:rPr>
          <w:rFonts w:hint="eastAsia" w:ascii="Times New Roman" w:hAnsi="Times New Roman"/>
        </w:rPr>
        <w:t>习近平总书记指出，要以科技发展、国家战略需求为牵引，着眼提高创新能力，优化高等教育布局，完善高校学科设置调整机制和人才培养模式，加强基础学科、新兴学科、交叉学科建设和拔尖人才培养。</w:t>
      </w:r>
    </w:p>
    <w:p>
      <w:pPr>
        <w:pStyle w:val="25"/>
        <w:widowControl/>
        <w:rPr>
          <w:rFonts w:ascii="Times New Roman" w:hAnsi="Times New Roman"/>
        </w:rPr>
      </w:pPr>
      <w:r>
        <w:rPr>
          <w:rFonts w:hint="eastAsia" w:ascii="Times New Roman" w:hAnsi="Times New Roman"/>
        </w:rPr>
        <w:t>教育部部长怀进鹏在出席十四届全国人大四次会议民生主题记者会时对分类推进高校改革进行部署，强调“支持研究型大学在支撑服务国家战略中打头阵、做尖兵”“以办学能力优质、服务区域经济社会发展优秀为目标，启动实施高水平应用型大学建设”“继续实施职业教育‘新双高’建设，持续推进办学能力高水平、产教融合高质量，更好支撑区域经济和产业发展”。</w:t>
      </w:r>
    </w:p>
    <w:p>
      <w:pPr>
        <w:pStyle w:val="25"/>
        <w:widowControl/>
        <w:rPr>
          <w:rFonts w:ascii="Times New Roman" w:hAnsi="Times New Roman"/>
        </w:rPr>
      </w:pPr>
      <w:r>
        <w:rPr>
          <w:rFonts w:hint="eastAsia" w:ascii="Times New Roman" w:hAnsi="Times New Roman"/>
        </w:rPr>
        <w:t>我国拥有世界上规模最大的高等教育体系，高校内部的类型层次结构差异较大，经济社会发展对高校人才培养的需求也不尽相同。这就决定了，高校改革要避免“千校一面”、同质化发展，“全能选手”和“单项冠军”都不可或缺。分类改革既是高等教育从规模扩张转向内涵式发展、夯实教育强国谋篇布局的必然选择，也是实现人才培养回应国家战略需求目标、对高质量发展形成有力支撑的系统性工程。它旨在克服高校同质化倾向，提升高等教育整体质量与服务能力，满足经济社会发展对多样化人才的需求。</w:t>
      </w:r>
    </w:p>
    <w:p>
      <w:pPr>
        <w:pStyle w:val="25"/>
        <w:widowControl/>
        <w:rPr>
          <w:rFonts w:ascii="Times New Roman" w:hAnsi="Times New Roman"/>
        </w:rPr>
      </w:pPr>
      <w:r>
        <w:rPr>
          <w:rFonts w:hint="eastAsia" w:ascii="Times New Roman" w:hAnsi="Times New Roman"/>
        </w:rPr>
        <w:t>分类推进高校改革的关键在于实质上的推进，而非形式上的分类。它并非简单地给高校贴上不同类型的标签，而是一套由高等教育内外部利益相关者参与分类管理、分类办学、分类评价、分类支持的有机整体。在这一推进过程中，需要超越分类本身，提高高校办学的质量与效率，真正做到多样化人才自主培养，推动高校特色发展和提升高等教育质量。</w:t>
      </w:r>
    </w:p>
    <w:p>
      <w:pPr>
        <w:pStyle w:val="25"/>
        <w:widowControl/>
        <w:rPr>
          <w:rFonts w:ascii="Times New Roman" w:hAnsi="Times New Roman"/>
        </w:rPr>
      </w:pPr>
      <w:r>
        <w:rPr>
          <w:rFonts w:hint="eastAsia" w:ascii="Times New Roman" w:hAnsi="Times New Roman"/>
        </w:rPr>
        <w:t>要以分类管理支撑高等教育治理体系现代化。在高校分类发展的实践中，政府不再承担单一的主导角色，高校、行业企业、学术团体乃至评价机构纷纷参与其中。分类管理要以国家顶层设计为基础、以市场调节机制为资源配置、以法治化为教育治理目标，清晰界定各主体在分类管理中的权责边界，引导各类高校科学定位、差异化发展与有序竞争。</w:t>
      </w:r>
    </w:p>
    <w:p>
      <w:pPr>
        <w:pStyle w:val="25"/>
        <w:widowControl/>
        <w:rPr>
          <w:rFonts w:ascii="Times New Roman" w:hAnsi="Times New Roman"/>
        </w:rPr>
      </w:pPr>
      <w:r>
        <w:rPr>
          <w:rFonts w:hint="eastAsia" w:ascii="Times New Roman" w:hAnsi="Times New Roman"/>
        </w:rPr>
        <w:t>要以分类办学推动院校办学模式多元化。研究型、应用型和职业技能型这三类高校基本办学定位，是高等教育结构调整的突破点，也是实现高校办学自主权的切入点。推进分类改革，高校应基于自身类型定位的多元探索，突出特色化学科专业建设，实现人才自主培养与国家战略发展需求的有效对接，形塑人才培养新范式。第一类，研究型高校要关注前沿理论探索和创新人才培养。研究型高校通过交叉学科和前沿学科建设，重点培育科技创新领军人才，实现教育科技人才一体发展的战略目标。以重大科研项目为引领，建立创新科技研发中心，打造高科技人才培养基地，推动科学研究成果和人才培养效果的有机融合，以前沿知识创新为科技自立自强提供智力驱动。第二类，应用型高校应侧重应用研究与专业实践人才培养。应用型高校发展的使命之一在于服务区域经济社会发展，实现教育的人才供给与战略性新兴产业需求的精准匹配，统筹推进制造业人才专项培养，大力培养卓越工程技术人才。通过深化区域产学研融合，实现制造业发展迭代升级与人才供给的合作共赢。第三类，职业技能型高校应面向行业生产和高素质技能人才培养。职业技能型高校需立足一线生产经验设置专业、研发课程，在开展学生实习实训过程中，以岗位对员工的技能要求为目标，重点培育学生的岗位胜任力和职业适应力，用精湛的技术技能为产业转型升级提供人才保障。</w:t>
      </w:r>
    </w:p>
    <w:p>
      <w:pPr>
        <w:pStyle w:val="25"/>
        <w:widowControl/>
        <w:rPr>
          <w:rFonts w:ascii="Times New Roman" w:hAnsi="Times New Roman"/>
        </w:rPr>
      </w:pPr>
      <w:r>
        <w:rPr>
          <w:rFonts w:hint="eastAsia" w:ascii="Times New Roman" w:hAnsi="Times New Roman"/>
        </w:rPr>
        <w:t>要以分类评价引导教育评价系统化。评价是“指挥棒”和“导航仪”，不能用“一把尺子”衡量所有大学，应形成“共性基础+学校定位+学科特色”的多维评价体系，持续动态调整，以激发并保护高校内生动力和特色发展。这就需要出台适应各类高校发展的分类评价政策，形成多主体参与高校分类评价格局，融合数字化智能化手段提升评价效能。</w:t>
      </w:r>
    </w:p>
    <w:p>
      <w:pPr>
        <w:pStyle w:val="25"/>
        <w:widowControl/>
        <w:rPr>
          <w:rFonts w:ascii="Times New Roman" w:hAnsi="Times New Roman"/>
        </w:rPr>
      </w:pPr>
      <w:r>
        <w:rPr>
          <w:rFonts w:hint="eastAsia" w:ascii="Times New Roman" w:hAnsi="Times New Roman"/>
        </w:rPr>
        <w:t>要以分类支持促进教育资源配置合理化。分类支持与分类评价直接挂钩，是实现高校分类改革发展政策落地、有序推进实施的关键。分类支持政策的制定应结合不同高校的特定使命与办学目标实现差异化政策供给，将分类定位转化为具体的办学条件、招生计划、经费投入、学位授权等支持政策，与分类评价结果联动，形成从评价到支持的激励机制，促进教育资源配置更加精确合理。这种资源配置方式，有助于推动高校立足自身办学定位、聚焦人才培养特色、重视实际贡献，在分类发展的赛道上行稳致远。</w:t>
      </w:r>
    </w:p>
    <w:p>
      <w:pPr>
        <w:pStyle w:val="25"/>
        <w:widowControl/>
        <w:rPr>
          <w:rFonts w:ascii="Times New Roman" w:hAnsi="Times New Roman"/>
        </w:rPr>
      </w:pPr>
      <w:r>
        <w:rPr>
          <w:rFonts w:hint="eastAsia" w:ascii="Times New Roman" w:hAnsi="Times New Roman"/>
        </w:rPr>
        <w:t>（</w:t>
      </w:r>
      <w:r>
        <w:rPr>
          <w:rFonts w:hint="eastAsia" w:ascii="Times New Roman" w:hAnsi="Times New Roman" w:cs="宋体"/>
        </w:rPr>
        <w:t>摘编自《中国教育报》202</w:t>
      </w:r>
      <w:r>
        <w:rPr>
          <w:rFonts w:ascii="Times New Roman" w:hAnsi="Times New Roman" w:cs="宋体"/>
        </w:rPr>
        <w:t>6</w:t>
      </w:r>
      <w:r>
        <w:rPr>
          <w:rFonts w:hint="eastAsia" w:ascii="Times New Roman" w:hAnsi="Times New Roman" w:cs="宋体"/>
        </w:rPr>
        <w:t>年</w:t>
      </w:r>
      <w:r>
        <w:rPr>
          <w:rFonts w:ascii="Times New Roman" w:hAnsi="Times New Roman" w:cs="宋体"/>
        </w:rPr>
        <w:t>0</w:t>
      </w:r>
      <w:r>
        <w:rPr>
          <w:rFonts w:hint="eastAsia" w:ascii="Times New Roman" w:hAnsi="Times New Roman" w:cs="宋体"/>
        </w:rPr>
        <w:t>3月</w:t>
      </w:r>
      <w:r>
        <w:rPr>
          <w:rFonts w:ascii="Times New Roman" w:hAnsi="Times New Roman" w:cs="宋体"/>
        </w:rPr>
        <w:t>11</w:t>
      </w:r>
      <w:r>
        <w:rPr>
          <w:rFonts w:hint="eastAsia" w:ascii="Times New Roman" w:hAnsi="Times New Roman" w:cs="宋体"/>
        </w:rPr>
        <w:t>日第0</w:t>
      </w:r>
      <w:r>
        <w:rPr>
          <w:rFonts w:ascii="Times New Roman" w:hAnsi="Times New Roman" w:cs="宋体"/>
        </w:rPr>
        <w:t>2</w:t>
      </w:r>
      <w:r>
        <w:rPr>
          <w:rFonts w:hint="eastAsia" w:ascii="Times New Roman" w:hAnsi="Times New Roman" w:cs="宋体"/>
        </w:rPr>
        <w:t>版</w:t>
      </w:r>
      <w:r>
        <w:rPr>
          <w:rFonts w:hint="eastAsia" w:ascii="Times New Roman" w:hAnsi="Times New Roman"/>
        </w:rPr>
        <w:t>）</w:t>
      </w:r>
    </w:p>
    <w:p>
      <w:pPr>
        <w:widowControl/>
        <w:jc w:val="left"/>
        <w:rPr>
          <w:rFonts w:ascii="Times New Roman" w:hAnsi="Times New Roman" w:eastAsia="宋体" w:cs="Times New Roman"/>
          <w:sz w:val="28"/>
        </w:rPr>
      </w:pPr>
      <w:r>
        <w:rPr>
          <w:rFonts w:ascii="Times New Roman" w:hAnsi="Times New Roman"/>
        </w:rPr>
        <w:br w:type="page"/>
      </w:r>
    </w:p>
    <w:bookmarkEnd w:id="7"/>
    <w:bookmarkEnd w:id="8"/>
    <w:bookmarkEnd w:id="9"/>
    <w:bookmarkEnd w:id="10"/>
    <w:p>
      <w:pPr>
        <w:pStyle w:val="40"/>
        <w:rPr>
          <w:rFonts w:ascii="Times New Roman" w:hAnsi="Times New Roman"/>
        </w:rPr>
      </w:pPr>
      <w:bookmarkStart w:id="15" w:name="_Toc225721714"/>
      <w:r>
        <w:rPr>
          <w:rFonts w:hint="eastAsia" w:ascii="Times New Roman" w:hAnsi="Times New Roman"/>
        </w:rPr>
        <w:t>【升大动态】</w:t>
      </w:r>
      <w:bookmarkEnd w:id="15"/>
    </w:p>
    <w:p>
      <w:pPr>
        <w:pStyle w:val="25"/>
        <w:ind w:firstLine="0" w:firstLineChars="0"/>
        <w:jc w:val="center"/>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6" w:name="_Toc225721715"/>
      <w:bookmarkStart w:id="17" w:name="_Toc2930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内蒙古日报：赤峰学院更名为赤峰大学</w:t>
      </w:r>
      <w:bookmarkEnd w:id="16"/>
    </w:p>
    <w:p>
      <w:pPr>
        <w:pStyle w:val="25"/>
        <w:rPr>
          <w:rFonts w:ascii="Times New Roman" w:hAnsi="Times New Roman"/>
        </w:rPr>
      </w:pPr>
      <w:r>
        <w:rPr>
          <w:rFonts w:hint="eastAsia" w:ascii="Times New Roman" w:hAnsi="Times New Roman"/>
        </w:rPr>
        <w:t>3月20日，赤峰大学揭牌仪式举行，标志着赤峰学院正式更名为赤峰大学，赤峰高等教育发展实现历史性突破。</w:t>
      </w:r>
    </w:p>
    <w:p>
      <w:pPr>
        <w:pStyle w:val="25"/>
        <w:rPr>
          <w:rFonts w:ascii="Times New Roman" w:hAnsi="Times New Roman"/>
        </w:rPr>
      </w:pPr>
      <w:r>
        <w:rPr>
          <w:rFonts w:hint="eastAsia" w:ascii="Times New Roman" w:hAnsi="Times New Roman"/>
        </w:rPr>
        <w:t>揭牌仪式现场，相关负责人宣读了《教育部关于同意赤峰学院更名为赤峰大学的函》。随后，与会嘉宾共同为赤峰大学揭牌。</w:t>
      </w:r>
    </w:p>
    <w:p>
      <w:pPr>
        <w:pStyle w:val="25"/>
        <w:rPr>
          <w:rFonts w:ascii="Times New Roman" w:hAnsi="Times New Roman"/>
        </w:rPr>
      </w:pPr>
      <w:r>
        <w:rPr>
          <w:rFonts w:hint="eastAsia" w:ascii="Times New Roman" w:hAnsi="Times New Roman"/>
        </w:rPr>
        <w:t>赤峰大学前身为1957年创办的赤峰师范学校，历经数次更名、整合与提质，于2003年正式组建为赤峰学院，成功升格为本科院校。2018年，学校获批硕士学位授予单位，办学水平再上新台阶。2026年2月，经教育部批准，赤峰学院更名为赤峰大学。历经69载薪火相传、砥砺奋进，如今的赤峰大学已发展成为拥有57个本科专业、13个硕士学位授权点、1.5万名全日制在校生和1500余名教职工的应用型大学。</w:t>
      </w:r>
    </w:p>
    <w:p>
      <w:pPr>
        <w:pStyle w:val="25"/>
        <w:rPr>
          <w:rFonts w:ascii="Times New Roman" w:hAnsi="Times New Roman"/>
        </w:rPr>
      </w:pPr>
      <w:r>
        <w:rPr>
          <w:rFonts w:hint="eastAsia" w:ascii="Times New Roman" w:hAnsi="Times New Roman"/>
        </w:rPr>
        <w:t>赤峰学院更名为赤峰大学，不仅是对赤峰学校综合办学实力、人才培养水平、科研创新能力的权威认证，更是内蒙古自治区高等教育布局优化的重要成果。赤峰大学将以此次升格为契机，坚持“精文、优教、强医、重工、兴农”的学科专业发展思路，全力建设特色鲜明的区域性高水平应用型大学，为赤峰乃至内蒙古东部地区培养更多高素质人才、推动区域经济社会发展提供更坚实的人才支撑与智力保障。</w:t>
      </w:r>
    </w:p>
    <w:p>
      <w:pPr>
        <w:pStyle w:val="25"/>
        <w:widowControl/>
        <w:rPr>
          <w:rFonts w:ascii="Times New Roman" w:hAnsi="Times New Roman"/>
        </w:rPr>
      </w:pPr>
      <w:r>
        <w:rPr>
          <w:rFonts w:hint="eastAsia" w:ascii="Times New Roman" w:hAnsi="Times New Roman"/>
        </w:rPr>
        <w:t>（摘编自《内蒙古日报》202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3月2</w:t>
      </w:r>
      <w:r>
        <w:rPr>
          <w:rFonts w:ascii="Times New Roman" w:hAnsi="Times New Roman"/>
        </w:rPr>
        <w:t>1</w:t>
      </w:r>
      <w:r>
        <w:rPr>
          <w:rFonts w:hint="eastAsia" w:ascii="Times New Roman" w:hAnsi="Times New Roman"/>
        </w:rPr>
        <w:t>日第0</w:t>
      </w:r>
      <w:r>
        <w:rPr>
          <w:rFonts w:ascii="Times New Roman" w:hAnsi="Times New Roman"/>
        </w:rPr>
        <w:t>1</w:t>
      </w:r>
      <w:r>
        <w:rPr>
          <w:rFonts w:hint="eastAsia" w:ascii="Times New Roman" w:hAnsi="Times New Roman"/>
        </w:rPr>
        <w:t>版）</w:t>
      </w:r>
    </w:p>
    <w:p>
      <w:pPr>
        <w:pStyle w:val="25"/>
        <w:rPr>
          <w:rFonts w:ascii="Times New Roman" w:hAnsi="Times New Roman"/>
        </w:rPr>
      </w:pPr>
    </w:p>
    <w:p>
      <w:pPr>
        <w:pStyle w:val="24"/>
        <w:ind w:firstLine="643"/>
        <w:jc w:val="both"/>
        <w:rPr>
          <w:rFonts w:hint="default" w:ascii="Times New Roman" w:hAnsi="Times New Roman" w:eastAsiaTheme="majorEastAsia" w:cstheme="majorEastAsia"/>
          <w:color w:val="auto"/>
        </w:rPr>
      </w:pPr>
      <w:bookmarkStart w:id="18" w:name="_Toc225721716"/>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中青在线：</w:t>
      </w:r>
      <w:bookmarkEnd w:id="17"/>
      <w:r>
        <w:rPr>
          <w:rFonts w:ascii="Times New Roman" w:hAnsi="Times New Roman" w:eastAsiaTheme="majorEastAsia" w:cstheme="majorEastAsia"/>
          <w:color w:val="auto"/>
        </w:rPr>
        <w:t>滨州医学院正式更名为山东医药大学</w:t>
      </w:r>
      <w:bookmarkEnd w:id="18"/>
    </w:p>
    <w:p>
      <w:pPr>
        <w:pStyle w:val="25"/>
        <w:rPr>
          <w:rFonts w:ascii="Times New Roman" w:hAnsi="Times New Roman"/>
        </w:rPr>
      </w:pPr>
      <w:r>
        <w:rPr>
          <w:rFonts w:hint="eastAsia" w:ascii="Times New Roman" w:hAnsi="Times New Roman"/>
        </w:rPr>
        <w:t>3月17日，根据《教育部关于同意滨州医学院更名为山东医药大学的函》，山东省人民政府印发《山东省人民政府关于将滨州医学院更名为山东医药大学的通知》（以下简称“通知”），滨州医学院正式更名为山东医药大学。</w:t>
      </w:r>
    </w:p>
    <w:p>
      <w:pPr>
        <w:pStyle w:val="25"/>
        <w:rPr>
          <w:rFonts w:ascii="Times New Roman" w:hAnsi="Times New Roman"/>
        </w:rPr>
      </w:pPr>
      <w:r>
        <w:rPr>
          <w:rFonts w:hint="eastAsia" w:ascii="Times New Roman" w:hAnsi="Times New Roman"/>
        </w:rPr>
        <w:t>据上述通知，滨州医学院更名为山东医药大学，学校标识码为4137010440；同时撤销滨州医学院的建制。机构编制事项由山东省委编办按照有关规定和程序办理。</w:t>
      </w:r>
    </w:p>
    <w:p>
      <w:pPr>
        <w:pStyle w:val="25"/>
        <w:rPr>
          <w:rFonts w:ascii="Times New Roman" w:hAnsi="Times New Roman"/>
        </w:rPr>
      </w:pPr>
      <w:r>
        <w:rPr>
          <w:rFonts w:hint="eastAsia" w:ascii="Times New Roman" w:hAnsi="Times New Roman"/>
        </w:rPr>
        <w:t>更名后的山东医药大学由山东省人民政府领导，山东省教育厅与山东省卫生健康委共同管理，以山东省教育厅为主。山东医药大学为公办普通本科学校，以本科教育为主，同时开展研究生教育。学校全日制在校生规模暂定为17000人。</w:t>
      </w:r>
    </w:p>
    <w:p>
      <w:pPr>
        <w:pStyle w:val="25"/>
        <w:rPr>
          <w:rFonts w:ascii="Times New Roman" w:hAnsi="Times New Roman"/>
        </w:rPr>
      </w:pPr>
      <w:r>
        <w:rPr>
          <w:rFonts w:hint="eastAsia" w:ascii="Times New Roman" w:hAnsi="Times New Roman"/>
        </w:rPr>
        <w:t>通知指出，山东省政府有关部门和驻地政府要在山东医药大学校园规划与建设、土地、资金、学科建设、人才引进、平台建设等方面提供大力支持，加快学校建设与发展。</w:t>
      </w:r>
    </w:p>
    <w:p>
      <w:pPr>
        <w:pStyle w:val="25"/>
        <w:rPr>
          <w:rFonts w:ascii="Times New Roman" w:hAnsi="Times New Roman"/>
        </w:rPr>
      </w:pPr>
      <w:r>
        <w:rPr>
          <w:rFonts w:hint="eastAsia" w:ascii="Times New Roman" w:hAnsi="Times New Roman"/>
        </w:rPr>
        <w:t>同时要求，山东医药大学要进一步明确办学定位，提升办学条件，深化内涵发展，加强师资队伍建设，不断提高教育教学质量和科研水平，着力培养高水平应用型人才，提升人才培养质量和科技创新能力，进一步办出特色、办出水平，助力区域卫生健康事业和医药健康产业高质量发展，为新时代社会主义现代化强省建设作出更大贡献。</w:t>
      </w:r>
    </w:p>
    <w:p>
      <w:pPr>
        <w:pStyle w:val="25"/>
        <w:wordWrap w:val="0"/>
        <w:rPr>
          <w:rFonts w:ascii="Times New Roman" w:hAnsi="Times New Roman"/>
        </w:rPr>
      </w:pPr>
      <w:r>
        <w:rPr>
          <w:rFonts w:hint="eastAsia" w:ascii="Times New Roman" w:hAnsi="Times New Roman"/>
        </w:rPr>
        <w:t>（摘编自中青在线网站202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3月</w:t>
      </w:r>
      <w:r>
        <w:rPr>
          <w:rFonts w:ascii="Times New Roman" w:hAnsi="Times New Roman"/>
        </w:rPr>
        <w:t>18</w:t>
      </w:r>
      <w:r>
        <w:rPr>
          <w:rFonts w:hint="eastAsia" w:ascii="Times New Roman" w:hAnsi="Times New Roman"/>
        </w:rPr>
        <w:t>日</w:t>
      </w:r>
      <w:r>
        <w:rPr>
          <w:rFonts w:ascii="Times New Roman" w:hAnsi="Times New Roman"/>
        </w:rPr>
        <w:t>https://news.cyol.com/gb/articles/2026-03/18/content_PbxgZQsx9J.html</w:t>
      </w:r>
      <w:r>
        <w:rPr>
          <w:rFonts w:hint="eastAsia" w:ascii="Times New Roman" w:hAnsi="Times New Roman"/>
        </w:rPr>
        <w:t>）</w:t>
      </w:r>
    </w:p>
    <w:p>
      <w:pPr>
        <w:widowControl/>
        <w:jc w:val="left"/>
        <w:rPr>
          <w:rFonts w:ascii="Times New Roman" w:hAnsi="Times New Roman" w:eastAsia="宋体" w:cs="宋体"/>
          <w:sz w:val="28"/>
        </w:rPr>
      </w:pPr>
      <w:r>
        <w:rPr>
          <w:rFonts w:ascii="Times New Roman" w:hAnsi="Times New Roman" w:cs="宋体"/>
        </w:rPr>
        <w:br w:type="page"/>
      </w:r>
    </w:p>
    <w:p>
      <w:pPr>
        <w:pStyle w:val="40"/>
        <w:rPr>
          <w:rFonts w:ascii="Times New Roman" w:hAnsi="Times New Roman"/>
        </w:rPr>
      </w:pPr>
      <w:bookmarkStart w:id="19" w:name="_Toc225721717"/>
      <w:bookmarkStart w:id="20" w:name="_Toc20590"/>
      <w:r>
        <w:rPr>
          <w:rFonts w:ascii="Times New Roman" w:hAnsi="Times New Roman"/>
        </w:rPr>
        <w:t>【</w:t>
      </w:r>
      <w:r>
        <w:rPr>
          <w:rFonts w:hint="eastAsia" w:ascii="Times New Roman" w:hAnsi="Times New Roman"/>
        </w:rPr>
        <w:t>院校扫描</w:t>
      </w:r>
      <w:r>
        <w:rPr>
          <w:rFonts w:ascii="Times New Roman" w:hAnsi="Times New Roman"/>
        </w:rPr>
        <w:t>】</w:t>
      </w:r>
      <w:bookmarkEnd w:id="19"/>
      <w:bookmarkEnd w:id="20"/>
    </w:p>
    <w:p>
      <w:pPr>
        <w:pStyle w:val="25"/>
        <w:ind w:firstLine="0" w:firstLineChars="0"/>
        <w:jc w:val="center"/>
        <w:rPr>
          <w:rFonts w:ascii="Times New Roman" w:hAnsi="Times New Roman"/>
        </w:rPr>
      </w:pPr>
    </w:p>
    <w:p>
      <w:pPr>
        <w:pStyle w:val="24"/>
        <w:ind w:firstLine="643"/>
        <w:jc w:val="both"/>
        <w:rPr>
          <w:rFonts w:hint="default" w:ascii="Times New Roman" w:hAnsi="Times New Roman"/>
          <w:color w:val="auto"/>
        </w:rPr>
      </w:pPr>
      <w:bookmarkStart w:id="21" w:name="_Toc215249277"/>
      <w:bookmarkStart w:id="22" w:name="_Toc225721718"/>
      <w:r>
        <w:rPr>
          <w:rFonts w:ascii="Times New Roman" w:hAnsi="Times New Roman" w:eastAsiaTheme="majorEastAsia" w:cstheme="majorEastAsia"/>
          <w:color w:val="auto"/>
        </w:rPr>
        <w:sym w:font="Wingdings" w:char="F075"/>
      </w:r>
      <w:bookmarkEnd w:id="21"/>
      <w:r>
        <w:rPr>
          <w:rFonts w:ascii="Times New Roman" w:hAnsi="Times New Roman" w:eastAsiaTheme="majorEastAsia" w:cstheme="majorEastAsia"/>
          <w:color w:val="auto"/>
        </w:rPr>
        <w:t>盐城师范学院：校地同频 科教共振</w:t>
      </w:r>
      <w:bookmarkEnd w:id="22"/>
    </w:p>
    <w:p>
      <w:pPr>
        <w:pStyle w:val="25"/>
        <w:rPr>
          <w:rFonts w:ascii="Times New Roman" w:hAnsi="Times New Roman"/>
        </w:rPr>
      </w:pPr>
      <w:r>
        <w:rPr>
          <w:rFonts w:hint="eastAsia" w:ascii="Times New Roman" w:hAnsi="Times New Roman"/>
        </w:rPr>
        <w:t>盐城师范学院海洋与地理科学学院自2011年获批江苏省地理科学实验教学示范中心以来，积极服务和支持中国黄（渤）海候鸟栖息地（第一期）申遗，充分利用世界自然遗产这一“生态金名片”，深度联动区域中小学，构建起“高校—遗产地—中小学”三维协同的自然教育体系，探索出一条“资源共享、课程共建、人才共育、成果共促”的特色育人路径，依托国家一流本科专业地理科学以及国家自然科学基金项目“科学传播类：黄海湿地自然教育模式与实践路径——以盐城世界自然遗产地为例”、江苏省社会科学基金项目“江苏大中小学思政课一体化建设的问题与对策研究”，成功将世界级生态资源转化为育人资源，为全国自然教育品牌建设提供了可复制、可推广的“盐城方案”。</w:t>
      </w:r>
    </w:p>
    <w:p>
      <w:pPr>
        <w:pStyle w:val="25"/>
        <w:ind w:firstLine="562"/>
        <w:rPr>
          <w:rFonts w:ascii="Times New Roman" w:hAnsi="Times New Roman"/>
          <w:b/>
        </w:rPr>
      </w:pPr>
      <w:r>
        <w:rPr>
          <w:rFonts w:hint="eastAsia" w:ascii="Times New Roman" w:hAnsi="Times New Roman"/>
          <w:b/>
        </w:rPr>
        <w:t>破局：从“资源孤岛”到“育人共同体”的系统重构</w:t>
      </w:r>
    </w:p>
    <w:p>
      <w:pPr>
        <w:pStyle w:val="25"/>
        <w:rPr>
          <w:rFonts w:ascii="Times New Roman" w:hAnsi="Times New Roman"/>
        </w:rPr>
      </w:pPr>
      <w:r>
        <w:rPr>
          <w:rFonts w:hint="eastAsia" w:ascii="Times New Roman" w:hAnsi="Times New Roman"/>
        </w:rPr>
        <w:t>江苏省盐城市拥有582公里海岸线、76.97万公顷湿地，是东亚—澳大利西亚候鸟迁徙路线上的关键“中转站”。2019年，中国黄（渤）海候鸟栖息地（第一期）列入《世界遗产名录》，然而在过去很长一段时间里，这份得天独厚的生态资源并未充分转化为教育优势。为了打通高等教育与基础教育的壁垒，让沉睡的生态资源变成“行走的育人课堂”，盐城师范学院以问题为导向，主动承担起地方高校服务区域发展的使命，协同世界自然遗产地，联动中小学打造全国湿地自然教育品牌，将湿地自然教育作为校地协同育人的核心抓手，系统重构自然教育生态。</w:t>
      </w:r>
    </w:p>
    <w:p>
      <w:pPr>
        <w:pStyle w:val="25"/>
        <w:rPr>
          <w:rFonts w:ascii="Times New Roman" w:hAnsi="Times New Roman"/>
        </w:rPr>
      </w:pPr>
      <w:r>
        <w:rPr>
          <w:rFonts w:hint="eastAsia" w:ascii="Times New Roman" w:hAnsi="Times New Roman"/>
        </w:rPr>
        <w:t>“我们的目标不是举办几次零散的研学活动，而是打造一个小学、中学、大学各学段贯通、能力不断进阶的‘育人共同体’。”盐城师范学院海洋与地理科学学院院长李传武表示，学院从顶层设计出发，创新性提出“12345”协同育人模式：锚定“提升学生地理实践力与综合素养”一个核心目标，以自然教育理念和学生认知发展规律为两大遵循，联动高校、遗产地、中小学三大主体，坚持“科教融合、产教融合、跨学科融合、信息技术融合”四轮驱动，最终实现学生“价值引领、地理综合思维、自主学习、实践创新、团队协作”五大能力全面提升。</w:t>
      </w:r>
    </w:p>
    <w:p>
      <w:pPr>
        <w:pStyle w:val="25"/>
        <w:rPr>
          <w:rFonts w:ascii="Times New Roman" w:hAnsi="Times New Roman"/>
        </w:rPr>
      </w:pPr>
      <w:r>
        <w:rPr>
          <w:rFonts w:hint="eastAsia" w:ascii="Times New Roman" w:hAnsi="Times New Roman"/>
        </w:rPr>
        <w:t>为了让模式落地生根，学院搭建起覆盖海陆空的立体化实践基地网络：滨海湿地类基地（条子泥、高泥淤泥质海滩）作为探究潮汐动力学、底栖生物群落的天然实验室；生态保护区类基地（江苏盐城国家珍禽自然保护区、江苏省大丰麋鹿国家自然保护区）聚焦旗舰物种保护与生物多样性监测；港口与海岸带类基地（盐城港港口群）成为观察人类活动与生态环境互动的窗口；中国黄海湿地博物馆则承担知识导入与情境铺垫功能，形成“场馆认知→野外验证→社区应用”的完整研学闭环。</w:t>
      </w:r>
    </w:p>
    <w:p>
      <w:pPr>
        <w:pStyle w:val="25"/>
        <w:rPr>
          <w:rFonts w:ascii="Times New Roman" w:hAnsi="Times New Roman"/>
        </w:rPr>
      </w:pPr>
      <w:r>
        <w:rPr>
          <w:rFonts w:hint="eastAsia" w:ascii="Times New Roman" w:hAnsi="Times New Roman"/>
        </w:rPr>
        <w:t>在硬件支撑的基础上，学院打破学科壁垒，整合地理科学、生态学、环境科学、城乡规划等多学科资源，建立由高校教授、遗产地工作人员、中小学名师组成的“三位一体”科普队伍，自主研发“实践教学智能管理系统”，实现从任务下发、过程监控到成果评价的全流程规范化管理。</w:t>
      </w:r>
    </w:p>
    <w:p>
      <w:pPr>
        <w:pStyle w:val="25"/>
        <w:ind w:firstLine="562"/>
        <w:rPr>
          <w:rFonts w:ascii="Times New Roman" w:hAnsi="Times New Roman"/>
          <w:b/>
        </w:rPr>
      </w:pPr>
      <w:r>
        <w:rPr>
          <w:rFonts w:hint="eastAsia" w:ascii="Times New Roman" w:hAnsi="Times New Roman"/>
          <w:b/>
        </w:rPr>
        <w:t>深耕：从“单向灌输”到“四阶递进”的体系创新</w:t>
      </w:r>
    </w:p>
    <w:p>
      <w:pPr>
        <w:pStyle w:val="25"/>
        <w:rPr>
          <w:rFonts w:ascii="Times New Roman" w:hAnsi="Times New Roman"/>
        </w:rPr>
      </w:pPr>
      <w:r>
        <w:rPr>
          <w:rFonts w:hint="eastAsia" w:ascii="Times New Roman" w:hAnsi="Times New Roman"/>
        </w:rPr>
        <w:t>针对实践活动缺乏系统性规划、学生收获碎片化的问题，盐城师范学院严格遵循学生认知发展规律，构建起“基础实践—拓展实践—综合实践—创新实践”“四阶递进”的全程贯通式实践教学体系，将看似随机的自然体验转化为有序的能力成长序列。</w:t>
      </w:r>
    </w:p>
    <w:p>
      <w:pPr>
        <w:pStyle w:val="25"/>
        <w:rPr>
          <w:rFonts w:ascii="Times New Roman" w:hAnsi="Times New Roman"/>
        </w:rPr>
      </w:pPr>
      <w:r>
        <w:rPr>
          <w:rFonts w:hint="eastAsia" w:ascii="Times New Roman" w:hAnsi="Times New Roman"/>
        </w:rPr>
        <w:t>（一）基础实践层实现课程有机衔接</w:t>
      </w:r>
    </w:p>
    <w:p>
      <w:pPr>
        <w:pStyle w:val="25"/>
        <w:rPr>
          <w:rFonts w:ascii="Times New Roman" w:hAnsi="Times New Roman"/>
        </w:rPr>
      </w:pPr>
      <w:r>
        <w:rPr>
          <w:rFonts w:hint="eastAsia" w:ascii="Times New Roman" w:hAnsi="Times New Roman"/>
        </w:rPr>
        <w:t>盐城师范学院海洋与地理科学学院聚焦黄海湿地构建了小学、中学、大学一体化的地理实践课程体系：面向小学生，重点开展湿地生态启蒙，培养其热爱大美湿地的情感；面向初中生，丰富其对湿地生态的认知；面向高中生，培养其开展湿地科学探究的能力和审美能力；面向大学生，引导其进行湿地科研创新，厚植家国情怀。</w:t>
      </w:r>
    </w:p>
    <w:p>
      <w:pPr>
        <w:pStyle w:val="25"/>
        <w:rPr>
          <w:rFonts w:ascii="Times New Roman" w:hAnsi="Times New Roman"/>
        </w:rPr>
      </w:pPr>
      <w:r>
        <w:rPr>
          <w:rFonts w:hint="eastAsia" w:ascii="Times New Roman" w:hAnsi="Times New Roman"/>
        </w:rPr>
        <w:t>“当我站在条子泥滩涂上，看着数以万计的候鸟在潮水间起舞，才明白课本上‘人与自然和谐共生’不是一句空话。”盐城市田家炳中学一名学生在参加完研学活动后表示。在学校组织的相关主题活动中，学生通过观鸟、制作叶脉书签、参观标本馆等活动，对湿地生态有了直观认识。</w:t>
      </w:r>
    </w:p>
    <w:p>
      <w:pPr>
        <w:pStyle w:val="25"/>
        <w:rPr>
          <w:rFonts w:ascii="Times New Roman" w:hAnsi="Times New Roman"/>
        </w:rPr>
      </w:pPr>
      <w:r>
        <w:rPr>
          <w:rFonts w:hint="eastAsia" w:ascii="Times New Roman" w:hAnsi="Times New Roman"/>
        </w:rPr>
        <w:t>（二）拓展实践层促进理性分析深化</w:t>
      </w:r>
    </w:p>
    <w:p>
      <w:pPr>
        <w:pStyle w:val="25"/>
        <w:rPr>
          <w:rFonts w:ascii="Times New Roman" w:hAnsi="Times New Roman"/>
        </w:rPr>
      </w:pPr>
      <w:r>
        <w:rPr>
          <w:rFonts w:hint="eastAsia" w:ascii="Times New Roman" w:hAnsi="Times New Roman"/>
        </w:rPr>
        <w:t>盐城师范学院海洋与地理科学学院面向初二、高二学生，聚焦潮汐规律、群落演替等特定自然现象，依托高校实验室资源开展数据处理与模型模拟，初步培养学生的科学探究能力。与盐城市中小学合作开发了“芦苇群落空间分布与水盐关系调查”“候鸟迁徙路线模拟”等特色项目，学生在高校导师的指导下使用专业仪器采样、分析数据，完成的多个探究项目荣获省级青少年科技创新大赛奖项。</w:t>
      </w:r>
    </w:p>
    <w:p>
      <w:pPr>
        <w:pStyle w:val="25"/>
        <w:rPr>
          <w:rFonts w:ascii="Times New Roman" w:hAnsi="Times New Roman"/>
        </w:rPr>
      </w:pPr>
      <w:r>
        <w:rPr>
          <w:rFonts w:hint="eastAsia" w:ascii="Times New Roman" w:hAnsi="Times New Roman"/>
        </w:rPr>
        <w:t>“学生对地理学的理解从‘考试科目’变成了‘探索世界的方式’，这种内在驱动力的激发是课堂教学无法替代的。”盐城市康居路初中教育集团教师表示。</w:t>
      </w:r>
    </w:p>
    <w:p>
      <w:pPr>
        <w:pStyle w:val="25"/>
        <w:rPr>
          <w:rFonts w:ascii="Times New Roman" w:hAnsi="Times New Roman"/>
        </w:rPr>
      </w:pPr>
      <w:r>
        <w:rPr>
          <w:rFonts w:hint="eastAsia" w:ascii="Times New Roman" w:hAnsi="Times New Roman"/>
        </w:rPr>
        <w:t>（三）综合实践层强调跨学科知识整合</w:t>
      </w:r>
    </w:p>
    <w:p>
      <w:pPr>
        <w:pStyle w:val="25"/>
        <w:rPr>
          <w:rFonts w:ascii="Times New Roman" w:hAnsi="Times New Roman"/>
        </w:rPr>
      </w:pPr>
      <w:r>
        <w:rPr>
          <w:rFonts w:hint="eastAsia" w:ascii="Times New Roman" w:hAnsi="Times New Roman"/>
        </w:rPr>
        <w:t>盐城师范学院海洋与地理科学学院面向初三、高三学生，设置“湿地碳汇功能评估”“生态旅游发展路径设计”等综合性任务，引导学生完成从调研到报告撰写的全流程，锤炼综合应用能力。</w:t>
      </w:r>
    </w:p>
    <w:p>
      <w:pPr>
        <w:pStyle w:val="25"/>
        <w:rPr>
          <w:rFonts w:ascii="Times New Roman" w:hAnsi="Times New Roman"/>
        </w:rPr>
      </w:pPr>
      <w:r>
        <w:rPr>
          <w:rFonts w:hint="eastAsia" w:ascii="Times New Roman" w:hAnsi="Times New Roman"/>
        </w:rPr>
        <w:t>2024年，学院组织中学生参与的“黄海湿地生态补偿标准与机制研究”课题成果，因扎实的数据支撑和创新思路，被吸纳进《盐城市国民经济和社会发展第十五个五年规划纲要》讨论稿，实现了教学成果向公共政策制定的转化，增强了学生的成就感与社会责任感。</w:t>
      </w:r>
    </w:p>
    <w:p>
      <w:pPr>
        <w:pStyle w:val="25"/>
        <w:rPr>
          <w:rFonts w:ascii="Times New Roman" w:hAnsi="Times New Roman"/>
        </w:rPr>
      </w:pPr>
      <w:r>
        <w:rPr>
          <w:rFonts w:hint="eastAsia" w:ascii="Times New Roman" w:hAnsi="Times New Roman"/>
        </w:rPr>
        <w:t>（四）创新实践层聚焦科研潜质培养</w:t>
      </w:r>
    </w:p>
    <w:p>
      <w:pPr>
        <w:pStyle w:val="25"/>
        <w:rPr>
          <w:rFonts w:ascii="Times New Roman" w:hAnsi="Times New Roman"/>
        </w:rPr>
      </w:pPr>
      <w:r>
        <w:rPr>
          <w:rFonts w:hint="eastAsia" w:ascii="Times New Roman" w:hAnsi="Times New Roman"/>
        </w:rPr>
        <w:t>盐城师范学院海洋与地理科学学院选拔学有余力的学生进入高校教授课题组，让其作为科研助手完整经历“观测—假设—分析—论证—建议”的科学研究链条，实现从“学习者”到“探索者”的角色转变。近年来，已有30余名中学生参与学院国家自然科学基金项目研究。</w:t>
      </w:r>
    </w:p>
    <w:p>
      <w:pPr>
        <w:pStyle w:val="25"/>
        <w:rPr>
          <w:rFonts w:ascii="Times New Roman" w:hAnsi="Times New Roman"/>
        </w:rPr>
      </w:pPr>
      <w:r>
        <w:rPr>
          <w:rFonts w:hint="eastAsia" w:ascii="Times New Roman" w:hAnsi="Times New Roman"/>
        </w:rPr>
        <w:t>为保障体系有效运行，学院创新“课堂教学+自然学校+实地体验”“三位一体”实施模式，建立由高校、遗产地、中小学三方参与的多元评价机制，为每名学生生成《地理核心素养成长档案》，真实记录能力发展轨迹。截至2025年底，该体系已覆盖盐城市27所中学，累计开展实践活动120余场次，受益学生超2.3万人次。</w:t>
      </w:r>
    </w:p>
    <w:p>
      <w:pPr>
        <w:pStyle w:val="25"/>
        <w:ind w:firstLine="562"/>
        <w:rPr>
          <w:rFonts w:ascii="Times New Roman" w:hAnsi="Times New Roman"/>
          <w:b/>
        </w:rPr>
      </w:pPr>
      <w:r>
        <w:rPr>
          <w:rFonts w:hint="eastAsia" w:ascii="Times New Roman" w:hAnsi="Times New Roman"/>
          <w:b/>
        </w:rPr>
        <w:t>赋能：从“地方实践”到“全国品牌”的价值溢出</w:t>
      </w:r>
    </w:p>
    <w:p>
      <w:pPr>
        <w:pStyle w:val="25"/>
        <w:rPr>
          <w:rFonts w:ascii="Times New Roman" w:hAnsi="Times New Roman"/>
        </w:rPr>
      </w:pPr>
      <w:r>
        <w:rPr>
          <w:rFonts w:hint="eastAsia" w:ascii="Times New Roman" w:hAnsi="Times New Roman"/>
        </w:rPr>
        <w:t>“我们既要培养学生的生态文明素养，又要讲好中国故事，让黄海湿地的自然教育经验走向世界。”盐城市湿地和世界自然遗产保护管理中心的工作人员表示。经过5年深耕，校地联动的湿地自然教育模式已经形成显著的品牌效应。</w:t>
      </w:r>
    </w:p>
    <w:p>
      <w:pPr>
        <w:pStyle w:val="25"/>
        <w:rPr>
          <w:rFonts w:ascii="Times New Roman" w:hAnsi="Times New Roman"/>
        </w:rPr>
      </w:pPr>
      <w:r>
        <w:rPr>
          <w:rFonts w:hint="eastAsia" w:ascii="Times New Roman" w:hAnsi="Times New Roman"/>
        </w:rPr>
        <w:t>在师资培养层面，盐城师范学院海洋与地理科学学院联合盐城市教育部门等连续3年举办盐城市中小学教师湿地科普教育微课比赛和培训，邀请全国知名专家围绕湿地科普教学设计、滨海湿地水鸟观测等主题开展系统培训，累计培养“种子教师”360余名，开发优质微课187节，编写的《盐城湿地——我的家》（小学版、中学版）教材覆盖盐城市中小学，构建起“培养一名教师、带动一个班级、影响一所学校”的师资辐射网络。</w:t>
      </w:r>
    </w:p>
    <w:p>
      <w:pPr>
        <w:pStyle w:val="25"/>
        <w:rPr>
          <w:rFonts w:ascii="Times New Roman" w:hAnsi="Times New Roman"/>
        </w:rPr>
      </w:pPr>
      <w:r>
        <w:rPr>
          <w:rFonts w:hint="eastAsia" w:ascii="Times New Roman" w:hAnsi="Times New Roman"/>
        </w:rPr>
        <w:t>在资源输出层面，学院系统梳理实践经验，形成了包含课程体系、评价标准、操作手册在内的完整资源包，不仅在江苏省内13个地市推广，还与多个世界遗产地建立合作关系，为全国17个省份的自然教育基地提供建设咨询服务，相关经验被权威媒体专题刊载。与中学联合编写的湿地自然教育系列实践教材入选国家林业和草原部门全国优秀林草科普作品，获得中国林学会第十届梁希科普奖一等奖。</w:t>
      </w:r>
    </w:p>
    <w:p>
      <w:pPr>
        <w:pStyle w:val="25"/>
        <w:rPr>
          <w:rFonts w:ascii="Times New Roman" w:hAnsi="Times New Roman"/>
        </w:rPr>
      </w:pPr>
      <w:r>
        <w:rPr>
          <w:rFonts w:hint="eastAsia" w:ascii="Times New Roman" w:hAnsi="Times New Roman"/>
        </w:rPr>
        <w:t>在社会影响层面，学院联合盐城市湿地和世界自然遗产保护管理中心打造“湿地小博士”“冬季候鸟探秘”等特色科普品牌活动，吸引了超1万名青少年参与，相关活动被权威媒体报道10余次。2026年，学院正在积极牵头筹建“长三角湿地教育联盟”，拟吸纳上海市、江苏省、浙江省、安徽省的30所高校和全国58所中学参与，加快构建起跨区域的自然教育协作网络。</w:t>
      </w:r>
    </w:p>
    <w:p>
      <w:pPr>
        <w:pStyle w:val="25"/>
        <w:rPr>
          <w:rFonts w:ascii="Times New Roman" w:hAnsi="Times New Roman"/>
        </w:rPr>
      </w:pPr>
      <w:r>
        <w:rPr>
          <w:rFonts w:hint="eastAsia" w:ascii="Times New Roman" w:hAnsi="Times New Roman"/>
        </w:rPr>
        <w:t>未来，盐城师范学院将继续深化校地协同育人机制，不断丰富湿地自然教育的内涵与外延，让黄海之滨的生态文明教育星火，照亮更多青少年的成长之路，为建设美丽中国培养更多兼具家国情怀、科学素养和实践能力的时代新人。</w:t>
      </w:r>
    </w:p>
    <w:p>
      <w:pPr>
        <w:pStyle w:val="25"/>
        <w:rPr>
          <w:rFonts w:ascii="Times New Roman" w:hAnsi="Times New Roman" w:cs="宋体"/>
        </w:rPr>
      </w:pPr>
      <w:r>
        <w:rPr>
          <w:rFonts w:hint="eastAsia" w:ascii="Times New Roman" w:hAnsi="Times New Roman"/>
        </w:rPr>
        <w:t>（摘编自《中国教育报》2026年03月</w:t>
      </w:r>
      <w:r>
        <w:rPr>
          <w:rFonts w:ascii="Times New Roman" w:hAnsi="Times New Roman"/>
        </w:rPr>
        <w:t>19</w:t>
      </w:r>
      <w:r>
        <w:rPr>
          <w:rFonts w:hint="eastAsia" w:ascii="Times New Roman" w:hAnsi="Times New Roman"/>
        </w:rPr>
        <w:t>日第0</w:t>
      </w:r>
      <w:r>
        <w:rPr>
          <w:rFonts w:ascii="Times New Roman" w:hAnsi="Times New Roman"/>
        </w:rPr>
        <w:t>4</w:t>
      </w:r>
      <w:r>
        <w:rPr>
          <w:rFonts w:hint="eastAsia" w:ascii="Times New Roman" w:hAnsi="Times New Roman"/>
        </w:rPr>
        <w:t>版</w:t>
      </w:r>
      <w:r>
        <w:rPr>
          <w:rFonts w:hint="eastAsia" w:ascii="Times New Roman" w:hAnsi="Times New Roman" w:cs="宋体"/>
        </w:rPr>
        <w:t>）</w:t>
      </w:r>
    </w:p>
    <w:p>
      <w:pPr>
        <w:pStyle w:val="25"/>
        <w:rPr>
          <w:rFonts w:ascii="Times New Roman" w:hAnsi="Times New Roman" w:cs="宋体"/>
        </w:rPr>
      </w:pPr>
    </w:p>
    <w:p>
      <w:pPr>
        <w:pStyle w:val="24"/>
        <w:ind w:firstLine="643"/>
        <w:rPr>
          <w:rFonts w:hint="default" w:ascii="Times New Roman" w:hAnsi="Times New Roman" w:eastAsiaTheme="majorEastAsia" w:cstheme="majorEastAsia"/>
          <w:color w:val="auto"/>
        </w:rPr>
      </w:pPr>
      <w:bookmarkStart w:id="23" w:name="_Toc191329437"/>
      <w:bookmarkStart w:id="24" w:name="_Toc225721719"/>
      <w:r>
        <w:rPr>
          <w:rFonts w:ascii="Times New Roman" w:hAnsi="Times New Roman" w:eastAsiaTheme="majorEastAsia" w:cstheme="majorEastAsia"/>
          <w:color w:val="auto"/>
        </w:rPr>
        <w:sym w:font="Wingdings" w:char="F075"/>
      </w:r>
      <w:bookmarkEnd w:id="23"/>
      <w:r>
        <w:rPr>
          <w:rFonts w:ascii="Times New Roman" w:hAnsi="Times New Roman" w:eastAsiaTheme="majorEastAsia" w:cstheme="majorEastAsia"/>
          <w:color w:val="auto"/>
        </w:rPr>
        <w:t>黑龙江工程学院：让学生研究真问题、练就真本领</w:t>
      </w:r>
      <w:bookmarkEnd w:id="24"/>
    </w:p>
    <w:p>
      <w:pPr>
        <w:pStyle w:val="25"/>
        <w:rPr>
          <w:rFonts w:ascii="Times New Roman" w:hAnsi="Times New Roman"/>
        </w:rPr>
      </w:pPr>
      <w:r>
        <w:rPr>
          <w:rFonts w:hint="eastAsia" w:ascii="Times New Roman" w:hAnsi="Times New Roman"/>
        </w:rPr>
        <w:t>近日，第十九届“挑战杯”全国大学生课外学术科技作品竞赛落幕，黑龙江工程学院龙建路桥建设现代产业学院（以下简称“龙建学院”）2023级学生郑海峰所在团队，凭借融合工地实战经验的参赛方案，斩获二等奖。这一成绩是黑龙江工程学院深耕产教融合、构建校企协同育人模式的生动体现。</w:t>
      </w:r>
    </w:p>
    <w:p>
      <w:pPr>
        <w:pStyle w:val="25"/>
        <w:rPr>
          <w:rFonts w:ascii="Times New Roman" w:hAnsi="Times New Roman"/>
        </w:rPr>
      </w:pPr>
      <w:r>
        <w:rPr>
          <w:rFonts w:hint="eastAsia" w:ascii="Times New Roman" w:hAnsi="Times New Roman"/>
        </w:rPr>
        <w:t>黑龙江工程学院于2020年与龙建路桥股份有限公司（以下简称“龙建股份”）共建龙建学院，2022年，龙建学院入选黑龙江省首批省级现代产业学院建设点。依托龙建学院，该校以产业需求为导向，让学生在真环境中研究真问题、练就真本领，累计培养330名应用型路桥人才，2024年首届毕业生实现100%定向就业，为黑龙江交通基础设施建设注入高校力量。</w:t>
      </w:r>
    </w:p>
    <w:p>
      <w:pPr>
        <w:pStyle w:val="25"/>
        <w:ind w:firstLine="562"/>
        <w:rPr>
          <w:rFonts w:ascii="Times New Roman" w:hAnsi="Times New Roman"/>
          <w:b/>
        </w:rPr>
      </w:pPr>
      <w:r>
        <w:rPr>
          <w:rFonts w:hint="eastAsia" w:ascii="Times New Roman" w:hAnsi="Times New Roman"/>
          <w:b/>
        </w:rPr>
        <w:t>校企合作走向深度相融</w:t>
      </w:r>
    </w:p>
    <w:p>
      <w:pPr>
        <w:pStyle w:val="25"/>
        <w:rPr>
          <w:rFonts w:ascii="Times New Roman" w:hAnsi="Times New Roman"/>
        </w:rPr>
      </w:pPr>
      <w:r>
        <w:rPr>
          <w:rFonts w:hint="eastAsia" w:ascii="Times New Roman" w:hAnsi="Times New Roman"/>
        </w:rPr>
        <w:t>在龙建学院的课堂上，“路基路面工程”“土木工程测量”等黑龙江省级一流课程的授课内容中，融入了大量真实施工案例，建筑信息模型（BIM）、智慧工地等行业前沿技术贯穿于核心课程教学之中，成为校企协同定制化培养人才的缩影。</w:t>
      </w:r>
    </w:p>
    <w:p>
      <w:pPr>
        <w:pStyle w:val="25"/>
        <w:rPr>
          <w:rFonts w:ascii="Times New Roman" w:hAnsi="Times New Roman"/>
        </w:rPr>
      </w:pPr>
      <w:r>
        <w:rPr>
          <w:rFonts w:hint="eastAsia" w:ascii="Times New Roman" w:hAnsi="Times New Roman"/>
        </w:rPr>
        <w:t>学校与龙建股份联合开展岗位调研并发布《路桥行业人才需求白皮书》，将企业施工规范转化为教学标准，共建8门专业核心课程，让课程内容与工程实际同步，从源头解决教学内容滞后问题。</w:t>
      </w:r>
    </w:p>
    <w:p>
      <w:pPr>
        <w:pStyle w:val="25"/>
        <w:rPr>
          <w:rFonts w:ascii="Times New Roman" w:hAnsi="Times New Roman"/>
        </w:rPr>
      </w:pPr>
      <w:r>
        <w:rPr>
          <w:rFonts w:hint="eastAsia" w:ascii="Times New Roman" w:hAnsi="Times New Roman"/>
        </w:rPr>
        <w:t>“校企合作不是简单的资源叠加，而是要以企业人才需求为核心，推动教育链、人才链与产业链有机衔接、同频共振，最终实现校企共生共长。”黑龙江工程学院土木与建筑工程学院院长杨扬表示，学校与龙建股份携手打造的“一核两翼三育”培养模式，以企业实际需求为核心，以校企合作、产教融合为两翼，以文化育魂、技能育才、实践育能为路径，彻底打破了传统育人与产业需求脱节的壁垒，让校企合作从简单相加走向深度相融。</w:t>
      </w:r>
    </w:p>
    <w:p>
      <w:pPr>
        <w:pStyle w:val="25"/>
        <w:rPr>
          <w:rFonts w:ascii="Times New Roman" w:hAnsi="Times New Roman"/>
        </w:rPr>
      </w:pPr>
      <w:r>
        <w:rPr>
          <w:rFonts w:hint="eastAsia" w:ascii="Times New Roman" w:hAnsi="Times New Roman"/>
        </w:rPr>
        <w:t>为了让学生从入学起就找准职业方向，龙建股份为龙建学院每届60名学生全额资助学费、住宿费，还设立专项奖学金，形成“招生即招工、培养即上岗、毕业即就业”的闭环机制。龙建学院2024届毕业生邢诗淼，目前是龙建股份第四工程有限公司第五项目部计划员，她回忆说：“企业全程参与培养，我们学的都是岗位所需的知识。实践期间，我深入森工防火路、集贤二级路等项目一线，在施工现场锤炼实操能力，毕业就直接上手工作。”</w:t>
      </w:r>
    </w:p>
    <w:p>
      <w:pPr>
        <w:pStyle w:val="25"/>
        <w:rPr>
          <w:rFonts w:ascii="Times New Roman" w:hAnsi="Times New Roman"/>
        </w:rPr>
      </w:pPr>
      <w:r>
        <w:rPr>
          <w:rFonts w:hint="eastAsia" w:ascii="Times New Roman" w:hAnsi="Times New Roman"/>
        </w:rPr>
        <w:t>以赛促学、以赛育才，是学院技能培养的另一重要抓手。学校发起由龙建股份赞助的“龙建杯”创新创业大赛，鼓励学生将竞赛备战与企业实习相结合。郑海峰就是其中的代表，他将工地实习中积累的施工经验融入参赛方案，在真实的施工环境中反复推演、验证、优化，最终在比赛中取得优异成绩。</w:t>
      </w:r>
    </w:p>
    <w:p>
      <w:pPr>
        <w:pStyle w:val="25"/>
        <w:ind w:firstLine="562"/>
        <w:rPr>
          <w:rFonts w:ascii="Times New Roman" w:hAnsi="Times New Roman"/>
          <w:b/>
        </w:rPr>
      </w:pPr>
      <w:r>
        <w:rPr>
          <w:rFonts w:hint="eastAsia" w:ascii="Times New Roman" w:hAnsi="Times New Roman"/>
          <w:b/>
        </w:rPr>
        <w:t>开创互利共赢良好格局</w:t>
      </w:r>
    </w:p>
    <w:p>
      <w:pPr>
        <w:pStyle w:val="25"/>
        <w:rPr>
          <w:rFonts w:ascii="Times New Roman" w:hAnsi="Times New Roman"/>
        </w:rPr>
      </w:pPr>
      <w:r>
        <w:rPr>
          <w:rFonts w:hint="eastAsia" w:ascii="Times New Roman" w:hAnsi="Times New Roman"/>
        </w:rPr>
        <w:t>“从看图纸、学习路基开挖与填筑，到使用取芯机检测路面结构层厚度，再到通过弯沉试验评定路面整体承载能力，工地实习让课本上的知识真正落了地。”龙建学院2023级学生张星博告诉记者，2026年寒假，他赴新疆昌吉龙建股份第四公司十八项目部实习。在企业导师一对一的指导下，他全程参与道路施工各工序的技术辅助工作，真切体会到了“质量为本、安全第一”的职业要求。</w:t>
      </w:r>
    </w:p>
    <w:p>
      <w:pPr>
        <w:pStyle w:val="25"/>
        <w:rPr>
          <w:rFonts w:ascii="Times New Roman" w:hAnsi="Times New Roman"/>
        </w:rPr>
      </w:pPr>
      <w:r>
        <w:rPr>
          <w:rFonts w:hint="eastAsia" w:ascii="Times New Roman" w:hAnsi="Times New Roman"/>
        </w:rPr>
        <w:t>不同于传统实践教学，龙建学院将学生的企业实习时间从4周延长至24周，覆盖大二、大三两个学年，且与工程施工期高度吻合。同时，学院推行岗位轮换制，让学生深入路基路面、桥涵工程等全工序实践，安全帽、反光背心成为学生实习的标配。</w:t>
      </w:r>
    </w:p>
    <w:p>
      <w:pPr>
        <w:pStyle w:val="25"/>
        <w:rPr>
          <w:rFonts w:ascii="Times New Roman" w:hAnsi="Times New Roman"/>
        </w:rPr>
      </w:pPr>
      <w:r>
        <w:rPr>
          <w:rFonts w:hint="eastAsia" w:ascii="Times New Roman" w:hAnsi="Times New Roman"/>
        </w:rPr>
        <w:t>除了常态化的工地实践，学院还推行团队式毕业设计改革。由龙建股份勘测设计院提供真实工程项目作为选题，校企双导师联合指导。学生6人为一组，分道路、桥梁设计小组开展“真题真做”，模拟真实设计场景中的专业协同机制。这种模式让学生在毕业前就能参与完整的工程设计流程，既锤炼了专业技能，也培养了团队协作能力，为入职后的工作打下了坚实基础。</w:t>
      </w:r>
    </w:p>
    <w:p>
      <w:pPr>
        <w:pStyle w:val="25"/>
        <w:rPr>
          <w:rFonts w:ascii="Times New Roman" w:hAnsi="Times New Roman"/>
        </w:rPr>
      </w:pPr>
      <w:r>
        <w:rPr>
          <w:rFonts w:hint="eastAsia" w:ascii="Times New Roman" w:hAnsi="Times New Roman"/>
        </w:rPr>
        <w:t>对于龙建股份而言，深度参与人才培养全流程，不仅可将企业用人标准融入教学环节，更储备了一批专业扎实、实操能力强、职业素养高的后备人才。“学院培养的毕业生熟悉施工规范与实操流程，进入岗位后能快速上手，实现了教育端与产业端人才供给的精准匹配。”龙建股份党委书记、董事长宁长远表示，校企资源共享、互利共赢的良好格局，让产教融合的活力持续迸发</w:t>
      </w:r>
    </w:p>
    <w:p>
      <w:pPr>
        <w:pStyle w:val="25"/>
        <w:rPr>
          <w:rFonts w:ascii="Times New Roman" w:hAnsi="Times New Roman" w:cs="宋体"/>
        </w:rPr>
      </w:pPr>
      <w:r>
        <w:rPr>
          <w:rFonts w:hint="eastAsia" w:ascii="Times New Roman" w:hAnsi="Times New Roman"/>
        </w:rPr>
        <w:t>（摘编自《科技日报》202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3月2</w:t>
      </w:r>
      <w:r>
        <w:rPr>
          <w:rFonts w:ascii="Times New Roman" w:hAnsi="Times New Roman"/>
        </w:rPr>
        <w:t>6</w:t>
      </w:r>
      <w:r>
        <w:rPr>
          <w:rFonts w:hint="eastAsia" w:ascii="Times New Roman" w:hAnsi="Times New Roman"/>
        </w:rPr>
        <w:t>日第0</w:t>
      </w:r>
      <w:r>
        <w:rPr>
          <w:rFonts w:ascii="Times New Roman" w:hAnsi="Times New Roman"/>
        </w:rPr>
        <w:t>8</w:t>
      </w:r>
      <w:r>
        <w:rPr>
          <w:rFonts w:hint="eastAsia" w:ascii="Times New Roman" w:hAnsi="Times New Roman"/>
        </w:rPr>
        <w:t>版</w:t>
      </w:r>
      <w:r>
        <w:rPr>
          <w:rFonts w:hint="eastAsia" w:ascii="Times New Roman" w:hAnsi="Times New Roman" w:cs="宋体"/>
        </w:rPr>
        <w:t>）</w:t>
      </w:r>
    </w:p>
    <w:p>
      <w:pPr>
        <w:widowControl/>
        <w:jc w:val="left"/>
        <w:rPr>
          <w:rFonts w:ascii="Times New Roman" w:hAnsi="Times New Roman" w:eastAsia="宋体" w:cs="宋体"/>
          <w:sz w:val="28"/>
        </w:rPr>
      </w:pPr>
      <w:r>
        <w:rPr>
          <w:rFonts w:ascii="Times New Roman" w:hAnsi="Times New Roman" w:cs="宋体"/>
        </w:rPr>
        <w:br w:type="page"/>
      </w:r>
    </w:p>
    <w:p>
      <w:pPr>
        <w:pStyle w:val="40"/>
        <w:rPr>
          <w:rFonts w:ascii="Times New Roman" w:hAnsi="Times New Roman"/>
        </w:rPr>
      </w:pPr>
      <w:bookmarkStart w:id="25" w:name="_Toc225721720"/>
      <w:r>
        <w:rPr>
          <w:rFonts w:ascii="Times New Roman" w:hAnsi="Times New Roman"/>
        </w:rPr>
        <w:t>【</w:t>
      </w:r>
      <w:r>
        <w:rPr>
          <w:rFonts w:hint="eastAsia" w:ascii="Times New Roman" w:hAnsi="Times New Roman"/>
        </w:rPr>
        <w:t>转型探索</w:t>
      </w:r>
      <w:r>
        <w:rPr>
          <w:rFonts w:ascii="Times New Roman" w:hAnsi="Times New Roman"/>
        </w:rPr>
        <w:t>】</w:t>
      </w:r>
      <w:bookmarkEnd w:id="25"/>
    </w:p>
    <w:p>
      <w:pPr>
        <w:pStyle w:val="25"/>
        <w:ind w:firstLine="0" w:firstLineChars="0"/>
        <w:jc w:val="center"/>
        <w:rPr>
          <w:rFonts w:ascii="Times New Roman" w:hAnsi="Times New Roman"/>
        </w:rPr>
      </w:pPr>
    </w:p>
    <w:p>
      <w:pPr>
        <w:pStyle w:val="24"/>
        <w:ind w:firstLine="643"/>
        <w:jc w:val="both"/>
        <w:rPr>
          <w:rFonts w:hint="default" w:ascii="Times New Roman" w:hAnsi="Times New Roman"/>
          <w:color w:val="auto"/>
        </w:rPr>
      </w:pPr>
      <w:bookmarkStart w:id="26" w:name="_Toc225721721"/>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w:t>
      </w:r>
      <w:bookmarkEnd w:id="26"/>
      <w:r>
        <w:rPr>
          <w:rFonts w:ascii="Times New Roman" w:hAnsi="Times New Roman" w:eastAsiaTheme="majorEastAsia" w:cstheme="majorEastAsia"/>
          <w:color w:val="auto"/>
        </w:rPr>
        <w:t>应用型高校要向实践要“前途”</w:t>
      </w:r>
    </w:p>
    <w:p>
      <w:pPr>
        <w:pStyle w:val="25"/>
        <w:rPr>
          <w:rFonts w:hint="eastAsia" w:ascii="Times New Roman" w:hAnsi="Times New Roman"/>
        </w:rPr>
      </w:pPr>
      <w:r>
        <w:rPr>
          <w:rFonts w:hint="eastAsia" w:ascii="Times New Roman" w:hAnsi="Times New Roman"/>
        </w:rPr>
        <w:t>今年政府工作报告提出，分类推进高校改革。分类推进高校改革话题受到代表委员热议。应用型高校如何找准定位，实现特色发展？全国政协委员汪小帆长期深耕应用型高等教育改革一线，他认为，应用型高校必须坚持“为科服务、为产育人”，以技术创新与产业需求为导向，培养真正具备解决复杂工程问题能力的高素质应用型人才。</w:t>
      </w:r>
    </w:p>
    <w:p>
      <w:pPr>
        <w:pStyle w:val="25"/>
        <w:rPr>
          <w:rFonts w:hint="eastAsia" w:ascii="Times New Roman" w:hAnsi="Times New Roman"/>
        </w:rPr>
      </w:pPr>
      <w:r>
        <w:rPr>
          <w:rFonts w:hint="eastAsia" w:ascii="Times New Roman" w:hAnsi="Times New Roman"/>
        </w:rPr>
        <w:t>应用型高校在培养具有技术创新能力和实践能力的高素质应用型人才方面具有重要作用，能够有力推动教育链、人才链与产业链、创新链的深度融合。分类推进高校改革，需要进一步深化高水平应用型大学建设，加快形成更符合经济社会发展需求的人才培养体制机制，以更加充足、更具活力的应用型人才供给，支撑新质生产力的发展。</w:t>
      </w:r>
    </w:p>
    <w:p>
      <w:pPr>
        <w:pStyle w:val="25"/>
        <w:rPr>
          <w:rFonts w:hint="eastAsia" w:ascii="Times New Roman" w:hAnsi="Times New Roman"/>
        </w:rPr>
      </w:pPr>
      <w:r>
        <w:rPr>
          <w:rFonts w:hint="eastAsia" w:ascii="Times New Roman" w:hAnsi="Times New Roman"/>
        </w:rPr>
        <w:t>加快高水平应用型大学建设，实现高校发展与科技创新、产业发展需求的同频共振，亟须找准破局点。面向“十五五”，需要从打通科产融合的难点堵点、健全学科专业动态调整机制，以及优化人才发展与管理体系等方面系统发力，在服务区域高质量发展中重塑应用型大学不可替代的独特价值。</w:t>
      </w:r>
    </w:p>
    <w:p>
      <w:pPr>
        <w:pStyle w:val="25"/>
        <w:rPr>
          <w:rFonts w:hint="eastAsia" w:ascii="Times New Roman" w:hAnsi="Times New Roman"/>
        </w:rPr>
      </w:pPr>
      <w:r>
        <w:rPr>
          <w:rFonts w:hint="eastAsia" w:ascii="Times New Roman" w:hAnsi="Times New Roman"/>
        </w:rPr>
        <w:t>聚焦科产融合关键环节，系统优化应用型人才培养体系。在一体推进教育、科技、人才发展的战略背景下，高水平应用型大学的使命在于培养既具备技术创新能力、又具备实践应用能力的高素质人才，更紧密地对接产业升级与区域发展需求。基于此，应用型大学在人才培养过程中，应着重突出科产融合路径，使人才培养能够深度嵌入从科技供给到成果转化的全过程，实现与产业需求的有效对接。在高质量科技供给方面，要注重聚焦产业链与创新链的衔接转化，突出科技应用和产业转化方向的人才培养，推动创新链与产业链联动发展。在创新主体协同方面，通过有针对性的产业服务型人才培养，破解多元主体间的协作壁垒。在科技成果转化方面</w:t>
      </w:r>
      <w:r>
        <w:rPr>
          <w:rFonts w:hint="eastAsia" w:ascii="Times New Roman" w:hAnsi="Times New Roman"/>
          <w:lang w:eastAsia="zh-CN"/>
        </w:rPr>
        <w:t>，</w:t>
      </w:r>
      <w:r>
        <w:rPr>
          <w:rFonts w:hint="eastAsia" w:ascii="Times New Roman" w:hAnsi="Times New Roman"/>
        </w:rPr>
        <w:t>应瞄准科技成果中试平台制度保障不足、知识产权保护体系不完善等现实问题，培养既懂技术又了解市场的复合型应用型人才。</w:t>
      </w:r>
    </w:p>
    <w:p>
      <w:pPr>
        <w:pStyle w:val="25"/>
        <w:rPr>
          <w:rFonts w:hint="eastAsia" w:ascii="Times New Roman" w:hAnsi="Times New Roman"/>
        </w:rPr>
      </w:pPr>
      <w:r>
        <w:rPr>
          <w:rFonts w:hint="eastAsia" w:ascii="Times New Roman" w:hAnsi="Times New Roman"/>
        </w:rPr>
        <w:t>紧扣专业设置与产业发展趋势，构建前瞻性的应用学科动态调整机制。优化学科专业布局、提升核心竞争力，是高水平应用型大学建设的重要支点。为此，应建立更加贴近产业发展趋势的学科专业动态调整机制。首先，在现有招培就评价体系基础上，更加强调社会需求和社会评价，以此作为重要参考，推动专业布局与区域新兴产业发展需求的精准适配。其次，在学科建设上，摒弃“大而全”的同质化倾向，坚持“特而强”差异化发展，集中优势资源打造一批特色鲜明、优势凸显的学科专业群。最后，聚焦科产融合的全链条转化机制，以应用学科交叉融合为突破口，着力破解技术从“样品”到“商品”过程中规模化应用难的问题，推动科技成果更顺畅地走向产业化应用。</w:t>
      </w:r>
    </w:p>
    <w:p>
      <w:pPr>
        <w:pStyle w:val="25"/>
        <w:rPr>
          <w:rFonts w:ascii="Times New Roman" w:hAnsi="Times New Roman"/>
        </w:rPr>
      </w:pPr>
      <w:r>
        <w:rPr>
          <w:rFonts w:hint="eastAsia" w:ascii="Times New Roman" w:hAnsi="Times New Roman"/>
        </w:rPr>
        <w:t>立足应用型人才管理体系，构建与应用型大学定位相适应的教师队伍评价体系。建设高水平应用型大学，还需要建立与应用型大学发展“为科服务、为产育人”定位相适配的教师评价体系。当前，应用型高校教师评价体系，与学术型高校的管理模式和评价机制雷同，难以支撑应用性、技术性和实践性办学特色和办学定位。正视当前重量化、排名、绩效等评价体系存在的诸多冲突，成为改革的当务之急。因此，需双轨并行优化应用型教师队伍评价体系，在强化高水平应用型教师队伍培养基础上，更需突出创新能力、实际成效和行业贡献的评价导向，优化教学与实践相结合的“双师型”教师的激励机制。进一步，可以从完善人才引进与激励机制、畅通教师队伍流动与交流渠道等方面协同发力，逐步形成更加完善的应用型教师队伍管理体系，实现应用型高校特色化建设与内涵式发展的目标。</w:t>
      </w:r>
    </w:p>
    <w:p>
      <w:pPr>
        <w:pStyle w:val="25"/>
        <w:rPr>
          <w:rFonts w:ascii="Times New Roman" w:hAnsi="Times New Roman" w:cs="宋体"/>
        </w:rPr>
      </w:pPr>
      <w:r>
        <w:rPr>
          <w:rFonts w:hint="eastAsia" w:ascii="Times New Roman" w:hAnsi="Times New Roman"/>
        </w:rPr>
        <w:t>（摘编自《中国教育报》202</w:t>
      </w:r>
      <w:r>
        <w:rPr>
          <w:rFonts w:ascii="Times New Roman" w:hAnsi="Times New Roman"/>
        </w:rPr>
        <w:t>6</w:t>
      </w:r>
      <w:r>
        <w:rPr>
          <w:rFonts w:hint="eastAsia" w:ascii="Times New Roman" w:hAnsi="Times New Roman"/>
        </w:rPr>
        <w:t>年</w:t>
      </w:r>
      <w:r>
        <w:rPr>
          <w:rFonts w:ascii="Times New Roman" w:hAnsi="Times New Roman"/>
        </w:rPr>
        <w:t>0</w:t>
      </w:r>
      <w:r>
        <w:rPr>
          <w:rFonts w:hint="eastAsia" w:ascii="Times New Roman" w:hAnsi="Times New Roman"/>
        </w:rPr>
        <w:t>3月</w:t>
      </w:r>
      <w:r>
        <w:rPr>
          <w:rFonts w:ascii="Times New Roman" w:hAnsi="Times New Roman"/>
        </w:rPr>
        <w:t>12</w:t>
      </w:r>
      <w:r>
        <w:rPr>
          <w:rFonts w:hint="eastAsia" w:ascii="Times New Roman" w:hAnsi="Times New Roman"/>
        </w:rPr>
        <w:t>日第</w:t>
      </w:r>
      <w:r>
        <w:rPr>
          <w:rFonts w:ascii="Times New Roman" w:hAnsi="Times New Roman"/>
        </w:rPr>
        <w:t>02</w:t>
      </w:r>
      <w:r>
        <w:rPr>
          <w:rFonts w:hint="eastAsia" w:ascii="Times New Roman" w:hAnsi="Times New Roman"/>
        </w:rPr>
        <w:t>版</w:t>
      </w:r>
      <w:r>
        <w:rPr>
          <w:rFonts w:hint="eastAsia" w:ascii="Times New Roman" w:hAnsi="Times New Roman" w:cs="宋体"/>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pPr>
                                <w:pStyle w:val="9"/>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EndPr>
                      <w:rPr>
                        <w:sz w:val="21"/>
                      </w:rPr>
                    </w:sdtEndPr>
                    <w:sdtContent>
                      <w:p>
                        <w:pPr>
                          <w:pStyle w:val="9"/>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LWsBQBZjjhoLgAAAA=="/>
    <w:docVar w:name="commondata" w:val="eyJoZGlkIjoiOTc1YmQ4NzVkNzBhYzFlYTU5ZDgyZWQ1Njg3OTBlMzcifQ=="/>
  </w:docVars>
  <w:rsids>
    <w:rsidRoot w:val="004B688C"/>
    <w:rsid w:val="000001B5"/>
    <w:rsid w:val="00000ABD"/>
    <w:rsid w:val="00001A08"/>
    <w:rsid w:val="0000269C"/>
    <w:rsid w:val="000063C0"/>
    <w:rsid w:val="00006D06"/>
    <w:rsid w:val="00007E16"/>
    <w:rsid w:val="00010EA8"/>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5A9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62E"/>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682C"/>
    <w:rsid w:val="000C7F75"/>
    <w:rsid w:val="000D0184"/>
    <w:rsid w:val="000D04AB"/>
    <w:rsid w:val="000D065B"/>
    <w:rsid w:val="000D067A"/>
    <w:rsid w:val="000D2517"/>
    <w:rsid w:val="000D360F"/>
    <w:rsid w:val="000D3C20"/>
    <w:rsid w:val="000D47CC"/>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B17"/>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668F"/>
    <w:rsid w:val="001D7B3B"/>
    <w:rsid w:val="001D7E85"/>
    <w:rsid w:val="001E19E6"/>
    <w:rsid w:val="001E3D49"/>
    <w:rsid w:val="001E4873"/>
    <w:rsid w:val="001E4FBE"/>
    <w:rsid w:val="001E6351"/>
    <w:rsid w:val="001E73B7"/>
    <w:rsid w:val="001E7D16"/>
    <w:rsid w:val="001F07E6"/>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0FE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30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298"/>
    <w:rsid w:val="002F3F9B"/>
    <w:rsid w:val="002F4247"/>
    <w:rsid w:val="002F503B"/>
    <w:rsid w:val="002F6236"/>
    <w:rsid w:val="0030072D"/>
    <w:rsid w:val="00301174"/>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0D63"/>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16E4"/>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672AB"/>
    <w:rsid w:val="00470868"/>
    <w:rsid w:val="004714DC"/>
    <w:rsid w:val="0047234E"/>
    <w:rsid w:val="0047245E"/>
    <w:rsid w:val="00472FB0"/>
    <w:rsid w:val="004748CC"/>
    <w:rsid w:val="00475637"/>
    <w:rsid w:val="00475E2E"/>
    <w:rsid w:val="00480C2C"/>
    <w:rsid w:val="0048205F"/>
    <w:rsid w:val="00482704"/>
    <w:rsid w:val="00482888"/>
    <w:rsid w:val="00483579"/>
    <w:rsid w:val="00485628"/>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1C30"/>
    <w:rsid w:val="004A23A0"/>
    <w:rsid w:val="004A2580"/>
    <w:rsid w:val="004A3495"/>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E60"/>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3BF"/>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5E82"/>
    <w:rsid w:val="005E61A0"/>
    <w:rsid w:val="005E6949"/>
    <w:rsid w:val="005E70E8"/>
    <w:rsid w:val="005F0DB2"/>
    <w:rsid w:val="005F4EB6"/>
    <w:rsid w:val="005F7780"/>
    <w:rsid w:val="005F7BB5"/>
    <w:rsid w:val="006008F3"/>
    <w:rsid w:val="006011CF"/>
    <w:rsid w:val="00601F9C"/>
    <w:rsid w:val="006022D2"/>
    <w:rsid w:val="006030CA"/>
    <w:rsid w:val="00603D44"/>
    <w:rsid w:val="00605781"/>
    <w:rsid w:val="00605ECF"/>
    <w:rsid w:val="00606D84"/>
    <w:rsid w:val="00607C44"/>
    <w:rsid w:val="00610342"/>
    <w:rsid w:val="00610886"/>
    <w:rsid w:val="00611B44"/>
    <w:rsid w:val="00611CCC"/>
    <w:rsid w:val="00612E1F"/>
    <w:rsid w:val="00613616"/>
    <w:rsid w:val="00614021"/>
    <w:rsid w:val="00616C4A"/>
    <w:rsid w:val="006171A9"/>
    <w:rsid w:val="0062027B"/>
    <w:rsid w:val="00620753"/>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49E0"/>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5D1"/>
    <w:rsid w:val="006853CE"/>
    <w:rsid w:val="00686D46"/>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6438"/>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7F0"/>
    <w:rsid w:val="00722BDF"/>
    <w:rsid w:val="007240EB"/>
    <w:rsid w:val="00724BE7"/>
    <w:rsid w:val="0072786F"/>
    <w:rsid w:val="00727B06"/>
    <w:rsid w:val="007300D6"/>
    <w:rsid w:val="00731E49"/>
    <w:rsid w:val="007323D9"/>
    <w:rsid w:val="00734751"/>
    <w:rsid w:val="00735058"/>
    <w:rsid w:val="00735385"/>
    <w:rsid w:val="007369D0"/>
    <w:rsid w:val="007372E8"/>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5D0F"/>
    <w:rsid w:val="00796348"/>
    <w:rsid w:val="007A0548"/>
    <w:rsid w:val="007A074D"/>
    <w:rsid w:val="007A0AF7"/>
    <w:rsid w:val="007A2B44"/>
    <w:rsid w:val="007A39A4"/>
    <w:rsid w:val="007A4A6C"/>
    <w:rsid w:val="007A4CEE"/>
    <w:rsid w:val="007A760A"/>
    <w:rsid w:val="007B0D18"/>
    <w:rsid w:val="007B22C1"/>
    <w:rsid w:val="007B3C5C"/>
    <w:rsid w:val="007B3FAD"/>
    <w:rsid w:val="007B461D"/>
    <w:rsid w:val="007B4D1F"/>
    <w:rsid w:val="007B5FE7"/>
    <w:rsid w:val="007B717D"/>
    <w:rsid w:val="007B7A9F"/>
    <w:rsid w:val="007C0550"/>
    <w:rsid w:val="007C0651"/>
    <w:rsid w:val="007C182B"/>
    <w:rsid w:val="007C2342"/>
    <w:rsid w:val="007C23A5"/>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0EB"/>
    <w:rsid w:val="007D5D40"/>
    <w:rsid w:val="007D5D7D"/>
    <w:rsid w:val="007D6934"/>
    <w:rsid w:val="007D7605"/>
    <w:rsid w:val="007D7B04"/>
    <w:rsid w:val="007D7ED6"/>
    <w:rsid w:val="007E3C33"/>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533"/>
    <w:rsid w:val="007F6748"/>
    <w:rsid w:val="00801546"/>
    <w:rsid w:val="00802033"/>
    <w:rsid w:val="00802069"/>
    <w:rsid w:val="008026E5"/>
    <w:rsid w:val="00802D59"/>
    <w:rsid w:val="00805339"/>
    <w:rsid w:val="00805EC4"/>
    <w:rsid w:val="008068F8"/>
    <w:rsid w:val="00806C6A"/>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19AE"/>
    <w:rsid w:val="0087321B"/>
    <w:rsid w:val="00874DF8"/>
    <w:rsid w:val="00876907"/>
    <w:rsid w:val="00882292"/>
    <w:rsid w:val="00882B15"/>
    <w:rsid w:val="00885B68"/>
    <w:rsid w:val="00885F29"/>
    <w:rsid w:val="00886D74"/>
    <w:rsid w:val="008905FB"/>
    <w:rsid w:val="00890E0B"/>
    <w:rsid w:val="00890E54"/>
    <w:rsid w:val="00895486"/>
    <w:rsid w:val="00897E2B"/>
    <w:rsid w:val="008A01EC"/>
    <w:rsid w:val="008A08F5"/>
    <w:rsid w:val="008A4556"/>
    <w:rsid w:val="008A7904"/>
    <w:rsid w:val="008A7A6D"/>
    <w:rsid w:val="008A7BD8"/>
    <w:rsid w:val="008A7C1E"/>
    <w:rsid w:val="008B03AD"/>
    <w:rsid w:val="008B1024"/>
    <w:rsid w:val="008B25A1"/>
    <w:rsid w:val="008B2AC8"/>
    <w:rsid w:val="008B3FBA"/>
    <w:rsid w:val="008B5598"/>
    <w:rsid w:val="008B5F20"/>
    <w:rsid w:val="008B7031"/>
    <w:rsid w:val="008B73BC"/>
    <w:rsid w:val="008C0F69"/>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46DDD"/>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77759"/>
    <w:rsid w:val="00980F32"/>
    <w:rsid w:val="009838A5"/>
    <w:rsid w:val="009855A0"/>
    <w:rsid w:val="00992FFF"/>
    <w:rsid w:val="00995CD8"/>
    <w:rsid w:val="00996335"/>
    <w:rsid w:val="00996B61"/>
    <w:rsid w:val="0099746A"/>
    <w:rsid w:val="00997FDE"/>
    <w:rsid w:val="009A07C1"/>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6CA4"/>
    <w:rsid w:val="009C7066"/>
    <w:rsid w:val="009C77D7"/>
    <w:rsid w:val="009D0017"/>
    <w:rsid w:val="009D0B0E"/>
    <w:rsid w:val="009D22BF"/>
    <w:rsid w:val="009D3EBA"/>
    <w:rsid w:val="009D44C3"/>
    <w:rsid w:val="009D6A44"/>
    <w:rsid w:val="009D7881"/>
    <w:rsid w:val="009E007A"/>
    <w:rsid w:val="009E0D88"/>
    <w:rsid w:val="009E188E"/>
    <w:rsid w:val="009E1CCF"/>
    <w:rsid w:val="009E270D"/>
    <w:rsid w:val="009E3862"/>
    <w:rsid w:val="009E4BC4"/>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5D13"/>
    <w:rsid w:val="00A37728"/>
    <w:rsid w:val="00A378C2"/>
    <w:rsid w:val="00A40938"/>
    <w:rsid w:val="00A419C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077F"/>
    <w:rsid w:val="00A93426"/>
    <w:rsid w:val="00A9377D"/>
    <w:rsid w:val="00A93ED8"/>
    <w:rsid w:val="00A93EFB"/>
    <w:rsid w:val="00A952A8"/>
    <w:rsid w:val="00A95D74"/>
    <w:rsid w:val="00A9608F"/>
    <w:rsid w:val="00A960BC"/>
    <w:rsid w:val="00A9646B"/>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07A00"/>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04"/>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0EE9"/>
    <w:rsid w:val="00B522A5"/>
    <w:rsid w:val="00B53686"/>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8BF"/>
    <w:rsid w:val="00B87CB7"/>
    <w:rsid w:val="00B90336"/>
    <w:rsid w:val="00B90D33"/>
    <w:rsid w:val="00B918E2"/>
    <w:rsid w:val="00B91DF5"/>
    <w:rsid w:val="00B93924"/>
    <w:rsid w:val="00B93FD8"/>
    <w:rsid w:val="00B945C3"/>
    <w:rsid w:val="00B94885"/>
    <w:rsid w:val="00B94BB7"/>
    <w:rsid w:val="00B94EB2"/>
    <w:rsid w:val="00B969AE"/>
    <w:rsid w:val="00BA015D"/>
    <w:rsid w:val="00BA0C05"/>
    <w:rsid w:val="00BA1D9A"/>
    <w:rsid w:val="00BA2590"/>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C6C27"/>
    <w:rsid w:val="00BD10AE"/>
    <w:rsid w:val="00BD2524"/>
    <w:rsid w:val="00BD2CCF"/>
    <w:rsid w:val="00BD4670"/>
    <w:rsid w:val="00BD497D"/>
    <w:rsid w:val="00BD5745"/>
    <w:rsid w:val="00BD5BF2"/>
    <w:rsid w:val="00BD6A88"/>
    <w:rsid w:val="00BD6C8F"/>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05"/>
    <w:rsid w:val="00C14CDB"/>
    <w:rsid w:val="00C155C8"/>
    <w:rsid w:val="00C20C71"/>
    <w:rsid w:val="00C244A6"/>
    <w:rsid w:val="00C268EE"/>
    <w:rsid w:val="00C275B7"/>
    <w:rsid w:val="00C27D01"/>
    <w:rsid w:val="00C31333"/>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B7EF7"/>
    <w:rsid w:val="00CC029A"/>
    <w:rsid w:val="00CC04F3"/>
    <w:rsid w:val="00CC09A3"/>
    <w:rsid w:val="00CC0ED0"/>
    <w:rsid w:val="00CC186D"/>
    <w:rsid w:val="00CC2646"/>
    <w:rsid w:val="00CC5AD2"/>
    <w:rsid w:val="00CC6521"/>
    <w:rsid w:val="00CD0E36"/>
    <w:rsid w:val="00CD227A"/>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1F48"/>
    <w:rsid w:val="00D6278D"/>
    <w:rsid w:val="00D627AA"/>
    <w:rsid w:val="00D63446"/>
    <w:rsid w:val="00D64F93"/>
    <w:rsid w:val="00D6543F"/>
    <w:rsid w:val="00D65AF2"/>
    <w:rsid w:val="00D65FAB"/>
    <w:rsid w:val="00D71BA2"/>
    <w:rsid w:val="00D72FDA"/>
    <w:rsid w:val="00D73A72"/>
    <w:rsid w:val="00D74150"/>
    <w:rsid w:val="00D74183"/>
    <w:rsid w:val="00D748AC"/>
    <w:rsid w:val="00D753DB"/>
    <w:rsid w:val="00D75F35"/>
    <w:rsid w:val="00D76B50"/>
    <w:rsid w:val="00D76D73"/>
    <w:rsid w:val="00D76EE1"/>
    <w:rsid w:val="00D825A7"/>
    <w:rsid w:val="00D83422"/>
    <w:rsid w:val="00D852D8"/>
    <w:rsid w:val="00D85DDB"/>
    <w:rsid w:val="00D87473"/>
    <w:rsid w:val="00D91BBE"/>
    <w:rsid w:val="00D91E9B"/>
    <w:rsid w:val="00D92539"/>
    <w:rsid w:val="00D93139"/>
    <w:rsid w:val="00D95754"/>
    <w:rsid w:val="00D96719"/>
    <w:rsid w:val="00D96B85"/>
    <w:rsid w:val="00DA0181"/>
    <w:rsid w:val="00DA0507"/>
    <w:rsid w:val="00DA0C44"/>
    <w:rsid w:val="00DA2389"/>
    <w:rsid w:val="00DA28B1"/>
    <w:rsid w:val="00DA2D76"/>
    <w:rsid w:val="00DA315C"/>
    <w:rsid w:val="00DA4B7B"/>
    <w:rsid w:val="00DA4C8D"/>
    <w:rsid w:val="00DA5493"/>
    <w:rsid w:val="00DA6AB6"/>
    <w:rsid w:val="00DA6CCA"/>
    <w:rsid w:val="00DB01FF"/>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175"/>
    <w:rsid w:val="00DF0606"/>
    <w:rsid w:val="00DF0B4A"/>
    <w:rsid w:val="00DF1DA1"/>
    <w:rsid w:val="00DF2B34"/>
    <w:rsid w:val="00DF51B1"/>
    <w:rsid w:val="00DF7349"/>
    <w:rsid w:val="00E001A9"/>
    <w:rsid w:val="00E00200"/>
    <w:rsid w:val="00E02591"/>
    <w:rsid w:val="00E028E1"/>
    <w:rsid w:val="00E030E3"/>
    <w:rsid w:val="00E03191"/>
    <w:rsid w:val="00E04F2D"/>
    <w:rsid w:val="00E0627F"/>
    <w:rsid w:val="00E06C35"/>
    <w:rsid w:val="00E1160A"/>
    <w:rsid w:val="00E13244"/>
    <w:rsid w:val="00E137B3"/>
    <w:rsid w:val="00E14531"/>
    <w:rsid w:val="00E14C47"/>
    <w:rsid w:val="00E159E1"/>
    <w:rsid w:val="00E16296"/>
    <w:rsid w:val="00E16377"/>
    <w:rsid w:val="00E16A06"/>
    <w:rsid w:val="00E21587"/>
    <w:rsid w:val="00E25CA5"/>
    <w:rsid w:val="00E31663"/>
    <w:rsid w:val="00E33CD6"/>
    <w:rsid w:val="00E34568"/>
    <w:rsid w:val="00E3529B"/>
    <w:rsid w:val="00E3574C"/>
    <w:rsid w:val="00E357B0"/>
    <w:rsid w:val="00E376AE"/>
    <w:rsid w:val="00E378C4"/>
    <w:rsid w:val="00E4035B"/>
    <w:rsid w:val="00E41296"/>
    <w:rsid w:val="00E41BA7"/>
    <w:rsid w:val="00E43032"/>
    <w:rsid w:val="00E43831"/>
    <w:rsid w:val="00E43AE2"/>
    <w:rsid w:val="00E43CD6"/>
    <w:rsid w:val="00E43EAF"/>
    <w:rsid w:val="00E44DC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87D66"/>
    <w:rsid w:val="00E90CCA"/>
    <w:rsid w:val="00E921B3"/>
    <w:rsid w:val="00E9227D"/>
    <w:rsid w:val="00E93B12"/>
    <w:rsid w:val="00E950BA"/>
    <w:rsid w:val="00EA1BBC"/>
    <w:rsid w:val="00EA2409"/>
    <w:rsid w:val="00EA27A4"/>
    <w:rsid w:val="00EA3513"/>
    <w:rsid w:val="00EA50E3"/>
    <w:rsid w:val="00EA5DBB"/>
    <w:rsid w:val="00EA5F04"/>
    <w:rsid w:val="00EA68B2"/>
    <w:rsid w:val="00EA741D"/>
    <w:rsid w:val="00EA745E"/>
    <w:rsid w:val="00EB00F5"/>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E3F"/>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4EA3"/>
    <w:rsid w:val="00F46118"/>
    <w:rsid w:val="00F46BCB"/>
    <w:rsid w:val="00F50174"/>
    <w:rsid w:val="00F50399"/>
    <w:rsid w:val="00F5138F"/>
    <w:rsid w:val="00F51A6E"/>
    <w:rsid w:val="00F51FE6"/>
    <w:rsid w:val="00F53668"/>
    <w:rsid w:val="00F53CEA"/>
    <w:rsid w:val="00F54436"/>
    <w:rsid w:val="00F54AAA"/>
    <w:rsid w:val="00F54CA8"/>
    <w:rsid w:val="00F5538E"/>
    <w:rsid w:val="00F554E6"/>
    <w:rsid w:val="00F568E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4F61"/>
    <w:rsid w:val="00FF6E1E"/>
    <w:rsid w:val="00FF74AE"/>
    <w:rsid w:val="00FF7EFD"/>
    <w:rsid w:val="01142BEC"/>
    <w:rsid w:val="012409F8"/>
    <w:rsid w:val="01401564"/>
    <w:rsid w:val="01695955"/>
    <w:rsid w:val="01897192"/>
    <w:rsid w:val="01934780"/>
    <w:rsid w:val="01A20ABE"/>
    <w:rsid w:val="01C65C02"/>
    <w:rsid w:val="01D502A4"/>
    <w:rsid w:val="01D93B53"/>
    <w:rsid w:val="01F114A6"/>
    <w:rsid w:val="01F2467F"/>
    <w:rsid w:val="02196462"/>
    <w:rsid w:val="02196522"/>
    <w:rsid w:val="022067B7"/>
    <w:rsid w:val="02372644"/>
    <w:rsid w:val="023870D5"/>
    <w:rsid w:val="023B7300"/>
    <w:rsid w:val="023E4AEA"/>
    <w:rsid w:val="02411BDF"/>
    <w:rsid w:val="0244335F"/>
    <w:rsid w:val="02461746"/>
    <w:rsid w:val="02624152"/>
    <w:rsid w:val="026D3366"/>
    <w:rsid w:val="027A5EF4"/>
    <w:rsid w:val="028D026E"/>
    <w:rsid w:val="02906F11"/>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06AA0"/>
    <w:rsid w:val="03143DEC"/>
    <w:rsid w:val="03182B88"/>
    <w:rsid w:val="032458DA"/>
    <w:rsid w:val="0328539C"/>
    <w:rsid w:val="032A66B6"/>
    <w:rsid w:val="034562F5"/>
    <w:rsid w:val="03576735"/>
    <w:rsid w:val="0358799B"/>
    <w:rsid w:val="03595555"/>
    <w:rsid w:val="036C029C"/>
    <w:rsid w:val="036D2B34"/>
    <w:rsid w:val="037045C4"/>
    <w:rsid w:val="0394702E"/>
    <w:rsid w:val="0397458A"/>
    <w:rsid w:val="039E740C"/>
    <w:rsid w:val="03A13F91"/>
    <w:rsid w:val="03A827B6"/>
    <w:rsid w:val="03AF6750"/>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25376"/>
    <w:rsid w:val="04BC752A"/>
    <w:rsid w:val="04CB2483"/>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A25958"/>
    <w:rsid w:val="05CE5990"/>
    <w:rsid w:val="05DA25C7"/>
    <w:rsid w:val="05DD246D"/>
    <w:rsid w:val="05EC2BDE"/>
    <w:rsid w:val="0607734B"/>
    <w:rsid w:val="0608074A"/>
    <w:rsid w:val="060851D3"/>
    <w:rsid w:val="060B528E"/>
    <w:rsid w:val="060E40A5"/>
    <w:rsid w:val="061B3B46"/>
    <w:rsid w:val="062275CE"/>
    <w:rsid w:val="06391BDF"/>
    <w:rsid w:val="063F37FB"/>
    <w:rsid w:val="06471F16"/>
    <w:rsid w:val="06594F1E"/>
    <w:rsid w:val="06614BB6"/>
    <w:rsid w:val="068A4255"/>
    <w:rsid w:val="069F3BC7"/>
    <w:rsid w:val="06C0348C"/>
    <w:rsid w:val="06C62615"/>
    <w:rsid w:val="06D37F08"/>
    <w:rsid w:val="06D422E1"/>
    <w:rsid w:val="06DA22E9"/>
    <w:rsid w:val="070178DC"/>
    <w:rsid w:val="070761C8"/>
    <w:rsid w:val="070770AE"/>
    <w:rsid w:val="071874D5"/>
    <w:rsid w:val="073042BD"/>
    <w:rsid w:val="073A2192"/>
    <w:rsid w:val="07447AA9"/>
    <w:rsid w:val="074B1050"/>
    <w:rsid w:val="07607AD1"/>
    <w:rsid w:val="07966475"/>
    <w:rsid w:val="07A70C3B"/>
    <w:rsid w:val="07D30D94"/>
    <w:rsid w:val="07DD5DDC"/>
    <w:rsid w:val="07E92A4F"/>
    <w:rsid w:val="07F57B8E"/>
    <w:rsid w:val="07F65A68"/>
    <w:rsid w:val="07F86536"/>
    <w:rsid w:val="08034961"/>
    <w:rsid w:val="080B5DF5"/>
    <w:rsid w:val="08353873"/>
    <w:rsid w:val="083B266E"/>
    <w:rsid w:val="084107A3"/>
    <w:rsid w:val="08554A8E"/>
    <w:rsid w:val="08735FE4"/>
    <w:rsid w:val="088000BE"/>
    <w:rsid w:val="08BD614A"/>
    <w:rsid w:val="08C17591"/>
    <w:rsid w:val="08E37D2A"/>
    <w:rsid w:val="08E91129"/>
    <w:rsid w:val="08F63977"/>
    <w:rsid w:val="08FD362A"/>
    <w:rsid w:val="09051602"/>
    <w:rsid w:val="09095327"/>
    <w:rsid w:val="090B72E8"/>
    <w:rsid w:val="09241A75"/>
    <w:rsid w:val="093141B9"/>
    <w:rsid w:val="09383E5F"/>
    <w:rsid w:val="09393C7C"/>
    <w:rsid w:val="093E42C9"/>
    <w:rsid w:val="09440A55"/>
    <w:rsid w:val="09476394"/>
    <w:rsid w:val="095D1A76"/>
    <w:rsid w:val="09721512"/>
    <w:rsid w:val="09776735"/>
    <w:rsid w:val="097D7588"/>
    <w:rsid w:val="09807B86"/>
    <w:rsid w:val="09870294"/>
    <w:rsid w:val="099449EE"/>
    <w:rsid w:val="09A63A23"/>
    <w:rsid w:val="09A710A7"/>
    <w:rsid w:val="09B933B7"/>
    <w:rsid w:val="09BB65A3"/>
    <w:rsid w:val="09CE287D"/>
    <w:rsid w:val="09D06D2E"/>
    <w:rsid w:val="09EA134A"/>
    <w:rsid w:val="09F04EDB"/>
    <w:rsid w:val="0A0A5C3B"/>
    <w:rsid w:val="0A1366AC"/>
    <w:rsid w:val="0A1F1228"/>
    <w:rsid w:val="0A2C004F"/>
    <w:rsid w:val="0A2F2362"/>
    <w:rsid w:val="0A3663B3"/>
    <w:rsid w:val="0A387B78"/>
    <w:rsid w:val="0A3B7E36"/>
    <w:rsid w:val="0A514367"/>
    <w:rsid w:val="0A574B10"/>
    <w:rsid w:val="0A5847B8"/>
    <w:rsid w:val="0A5C749D"/>
    <w:rsid w:val="0A715ABF"/>
    <w:rsid w:val="0A726EFC"/>
    <w:rsid w:val="0A793C89"/>
    <w:rsid w:val="0A84735B"/>
    <w:rsid w:val="0A8B6EB4"/>
    <w:rsid w:val="0A8C50DD"/>
    <w:rsid w:val="0A8F6645"/>
    <w:rsid w:val="0ABF6006"/>
    <w:rsid w:val="0AC2018B"/>
    <w:rsid w:val="0AC23D52"/>
    <w:rsid w:val="0AD45770"/>
    <w:rsid w:val="0ADA484F"/>
    <w:rsid w:val="0ADB4BBA"/>
    <w:rsid w:val="0ADE0DD3"/>
    <w:rsid w:val="0B077F8D"/>
    <w:rsid w:val="0B130A6D"/>
    <w:rsid w:val="0B137AF6"/>
    <w:rsid w:val="0B175CB8"/>
    <w:rsid w:val="0B291664"/>
    <w:rsid w:val="0B315168"/>
    <w:rsid w:val="0B380146"/>
    <w:rsid w:val="0B424B21"/>
    <w:rsid w:val="0B4D1E43"/>
    <w:rsid w:val="0B4E1717"/>
    <w:rsid w:val="0B517955"/>
    <w:rsid w:val="0B52745A"/>
    <w:rsid w:val="0B5B01CC"/>
    <w:rsid w:val="0B6E46A9"/>
    <w:rsid w:val="0B6F66A0"/>
    <w:rsid w:val="0B9C6927"/>
    <w:rsid w:val="0BA66253"/>
    <w:rsid w:val="0BB96F8E"/>
    <w:rsid w:val="0BC26057"/>
    <w:rsid w:val="0BC67500"/>
    <w:rsid w:val="0BE1507A"/>
    <w:rsid w:val="0BE512DE"/>
    <w:rsid w:val="0BEC55ED"/>
    <w:rsid w:val="0BFE548A"/>
    <w:rsid w:val="0C006EB6"/>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85DDF"/>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14423"/>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45D35"/>
    <w:rsid w:val="0EB5426C"/>
    <w:rsid w:val="0EC46A94"/>
    <w:rsid w:val="0ECF02ED"/>
    <w:rsid w:val="0ED80276"/>
    <w:rsid w:val="0ED807A8"/>
    <w:rsid w:val="0EDC56C4"/>
    <w:rsid w:val="0F00541F"/>
    <w:rsid w:val="0F046D96"/>
    <w:rsid w:val="0F20409F"/>
    <w:rsid w:val="0F220931"/>
    <w:rsid w:val="0F224C5E"/>
    <w:rsid w:val="0F500FDA"/>
    <w:rsid w:val="0F834430"/>
    <w:rsid w:val="0F8C7B52"/>
    <w:rsid w:val="0F8E3D1B"/>
    <w:rsid w:val="0F9F35AE"/>
    <w:rsid w:val="0FA16F08"/>
    <w:rsid w:val="0FA521BB"/>
    <w:rsid w:val="0FA56F3B"/>
    <w:rsid w:val="0FA6205A"/>
    <w:rsid w:val="0FCE65E6"/>
    <w:rsid w:val="0FD95637"/>
    <w:rsid w:val="0FE0018F"/>
    <w:rsid w:val="0FF81AB3"/>
    <w:rsid w:val="0FFC29A0"/>
    <w:rsid w:val="100D343E"/>
    <w:rsid w:val="10203647"/>
    <w:rsid w:val="10463305"/>
    <w:rsid w:val="10476A4E"/>
    <w:rsid w:val="10484F64"/>
    <w:rsid w:val="104D21C7"/>
    <w:rsid w:val="10536CB2"/>
    <w:rsid w:val="105416EB"/>
    <w:rsid w:val="10676E4F"/>
    <w:rsid w:val="10797237"/>
    <w:rsid w:val="10882799"/>
    <w:rsid w:val="108C5E7B"/>
    <w:rsid w:val="108F25B6"/>
    <w:rsid w:val="10906EAE"/>
    <w:rsid w:val="10934BB3"/>
    <w:rsid w:val="10C54E30"/>
    <w:rsid w:val="10C8348F"/>
    <w:rsid w:val="10CA1030"/>
    <w:rsid w:val="10CF51BA"/>
    <w:rsid w:val="10DB50DF"/>
    <w:rsid w:val="10E8710B"/>
    <w:rsid w:val="10E9512E"/>
    <w:rsid w:val="10F063E0"/>
    <w:rsid w:val="10F275BE"/>
    <w:rsid w:val="10FC4393"/>
    <w:rsid w:val="10FD0DE8"/>
    <w:rsid w:val="110F36F7"/>
    <w:rsid w:val="1122364C"/>
    <w:rsid w:val="113061A8"/>
    <w:rsid w:val="11331F0D"/>
    <w:rsid w:val="11352E2D"/>
    <w:rsid w:val="114619F6"/>
    <w:rsid w:val="11656C5F"/>
    <w:rsid w:val="11703C1B"/>
    <w:rsid w:val="117A647C"/>
    <w:rsid w:val="117C6AEC"/>
    <w:rsid w:val="1183008B"/>
    <w:rsid w:val="11964C5A"/>
    <w:rsid w:val="11AD3CB6"/>
    <w:rsid w:val="11B7711E"/>
    <w:rsid w:val="11BD20D6"/>
    <w:rsid w:val="11C11577"/>
    <w:rsid w:val="11C87B23"/>
    <w:rsid w:val="11D27C5A"/>
    <w:rsid w:val="11D861DF"/>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2FF0B31"/>
    <w:rsid w:val="1304034C"/>
    <w:rsid w:val="13216B2C"/>
    <w:rsid w:val="134839D8"/>
    <w:rsid w:val="134B0CBE"/>
    <w:rsid w:val="13533AAD"/>
    <w:rsid w:val="136A730B"/>
    <w:rsid w:val="137141F5"/>
    <w:rsid w:val="137E321A"/>
    <w:rsid w:val="13833AF2"/>
    <w:rsid w:val="13B81E24"/>
    <w:rsid w:val="13B86770"/>
    <w:rsid w:val="13DE4FFB"/>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4C6CC8"/>
    <w:rsid w:val="15583332"/>
    <w:rsid w:val="15592554"/>
    <w:rsid w:val="155C124C"/>
    <w:rsid w:val="15624A00"/>
    <w:rsid w:val="156D0B2D"/>
    <w:rsid w:val="157056CC"/>
    <w:rsid w:val="157B57FF"/>
    <w:rsid w:val="15AC1FA0"/>
    <w:rsid w:val="15B4178F"/>
    <w:rsid w:val="15C36BB7"/>
    <w:rsid w:val="15D03AD9"/>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03286"/>
    <w:rsid w:val="16B63EAA"/>
    <w:rsid w:val="16B7128F"/>
    <w:rsid w:val="16DE4297"/>
    <w:rsid w:val="16E354E9"/>
    <w:rsid w:val="16EE2282"/>
    <w:rsid w:val="16F05DFA"/>
    <w:rsid w:val="16FD2C3E"/>
    <w:rsid w:val="17011D34"/>
    <w:rsid w:val="17017F86"/>
    <w:rsid w:val="17034C03"/>
    <w:rsid w:val="170A6E3A"/>
    <w:rsid w:val="1720448E"/>
    <w:rsid w:val="17437B05"/>
    <w:rsid w:val="175C3EAE"/>
    <w:rsid w:val="175C4740"/>
    <w:rsid w:val="175E2CE2"/>
    <w:rsid w:val="176A5D73"/>
    <w:rsid w:val="177901A1"/>
    <w:rsid w:val="17854713"/>
    <w:rsid w:val="17991E6C"/>
    <w:rsid w:val="17A843E0"/>
    <w:rsid w:val="17B44FF8"/>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AD3F21"/>
    <w:rsid w:val="18B131B8"/>
    <w:rsid w:val="18B9196E"/>
    <w:rsid w:val="18CA3F17"/>
    <w:rsid w:val="18E84F59"/>
    <w:rsid w:val="19032E16"/>
    <w:rsid w:val="190B50EC"/>
    <w:rsid w:val="191912D0"/>
    <w:rsid w:val="1919138C"/>
    <w:rsid w:val="191C10A7"/>
    <w:rsid w:val="191D3504"/>
    <w:rsid w:val="19202AAF"/>
    <w:rsid w:val="193D18B1"/>
    <w:rsid w:val="1944076A"/>
    <w:rsid w:val="19453878"/>
    <w:rsid w:val="19470BFC"/>
    <w:rsid w:val="196B4912"/>
    <w:rsid w:val="196C2816"/>
    <w:rsid w:val="19746E26"/>
    <w:rsid w:val="198545E9"/>
    <w:rsid w:val="19920C8B"/>
    <w:rsid w:val="19AE61A3"/>
    <w:rsid w:val="19B227A4"/>
    <w:rsid w:val="19BB3C04"/>
    <w:rsid w:val="19C02C4D"/>
    <w:rsid w:val="19C85311"/>
    <w:rsid w:val="19D63616"/>
    <w:rsid w:val="19EC2A1D"/>
    <w:rsid w:val="19F501CC"/>
    <w:rsid w:val="1A012C35"/>
    <w:rsid w:val="1A1871D1"/>
    <w:rsid w:val="1A223331"/>
    <w:rsid w:val="1A272B94"/>
    <w:rsid w:val="1A293A7B"/>
    <w:rsid w:val="1A397017"/>
    <w:rsid w:val="1A40571B"/>
    <w:rsid w:val="1A46691A"/>
    <w:rsid w:val="1A4838AB"/>
    <w:rsid w:val="1A50159E"/>
    <w:rsid w:val="1A561C2F"/>
    <w:rsid w:val="1A5C19F6"/>
    <w:rsid w:val="1A661245"/>
    <w:rsid w:val="1A6D7C50"/>
    <w:rsid w:val="1A770393"/>
    <w:rsid w:val="1A884869"/>
    <w:rsid w:val="1A9316A1"/>
    <w:rsid w:val="1AAF7AF0"/>
    <w:rsid w:val="1AB9653B"/>
    <w:rsid w:val="1AC07C0C"/>
    <w:rsid w:val="1ADF3D8F"/>
    <w:rsid w:val="1AE76900"/>
    <w:rsid w:val="1AE949B2"/>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07D6D"/>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1B7B7F"/>
    <w:rsid w:val="1E2201D1"/>
    <w:rsid w:val="1E2565DF"/>
    <w:rsid w:val="1E2E2C08"/>
    <w:rsid w:val="1E62615F"/>
    <w:rsid w:val="1E6D2729"/>
    <w:rsid w:val="1E7777B5"/>
    <w:rsid w:val="1E905422"/>
    <w:rsid w:val="1EB8717C"/>
    <w:rsid w:val="1ECD52CB"/>
    <w:rsid w:val="1ED84675"/>
    <w:rsid w:val="1EE762A8"/>
    <w:rsid w:val="1EEE7042"/>
    <w:rsid w:val="1EEF57A0"/>
    <w:rsid w:val="1F097D58"/>
    <w:rsid w:val="1F1C379B"/>
    <w:rsid w:val="1F1E3283"/>
    <w:rsid w:val="1F213D36"/>
    <w:rsid w:val="1F415179"/>
    <w:rsid w:val="1F55468E"/>
    <w:rsid w:val="1F5A46D7"/>
    <w:rsid w:val="1F5B3A25"/>
    <w:rsid w:val="1F652D51"/>
    <w:rsid w:val="1F817EB6"/>
    <w:rsid w:val="1F835C60"/>
    <w:rsid w:val="1F852D9A"/>
    <w:rsid w:val="1F9A0A81"/>
    <w:rsid w:val="1FA4437F"/>
    <w:rsid w:val="1FB45B95"/>
    <w:rsid w:val="1FC43B44"/>
    <w:rsid w:val="1FDE76B7"/>
    <w:rsid w:val="1FDF18F5"/>
    <w:rsid w:val="1FEB532F"/>
    <w:rsid w:val="201B5C14"/>
    <w:rsid w:val="20216FA3"/>
    <w:rsid w:val="20364A08"/>
    <w:rsid w:val="20370453"/>
    <w:rsid w:val="20433DD9"/>
    <w:rsid w:val="208219EE"/>
    <w:rsid w:val="208642C5"/>
    <w:rsid w:val="208D55B4"/>
    <w:rsid w:val="20945F8B"/>
    <w:rsid w:val="20960AAC"/>
    <w:rsid w:val="20A81CC6"/>
    <w:rsid w:val="20BB2D92"/>
    <w:rsid w:val="20D9783C"/>
    <w:rsid w:val="20DB272D"/>
    <w:rsid w:val="20DF30E6"/>
    <w:rsid w:val="20E35890"/>
    <w:rsid w:val="20EB5260"/>
    <w:rsid w:val="20ED25F8"/>
    <w:rsid w:val="211D5536"/>
    <w:rsid w:val="212D7653"/>
    <w:rsid w:val="21374CD0"/>
    <w:rsid w:val="215D3497"/>
    <w:rsid w:val="21630DF5"/>
    <w:rsid w:val="216D4818"/>
    <w:rsid w:val="21720723"/>
    <w:rsid w:val="21835A63"/>
    <w:rsid w:val="21997739"/>
    <w:rsid w:val="219A0DBB"/>
    <w:rsid w:val="21A453EC"/>
    <w:rsid w:val="21B77BBF"/>
    <w:rsid w:val="21CB5E66"/>
    <w:rsid w:val="21DA2B73"/>
    <w:rsid w:val="21E51C2D"/>
    <w:rsid w:val="21E53738"/>
    <w:rsid w:val="21E92794"/>
    <w:rsid w:val="21EF4EBF"/>
    <w:rsid w:val="21EF7EED"/>
    <w:rsid w:val="21F347B9"/>
    <w:rsid w:val="21F368D6"/>
    <w:rsid w:val="21FA030D"/>
    <w:rsid w:val="21FF696C"/>
    <w:rsid w:val="22080428"/>
    <w:rsid w:val="220E42DE"/>
    <w:rsid w:val="22195DBD"/>
    <w:rsid w:val="221E379A"/>
    <w:rsid w:val="2224484A"/>
    <w:rsid w:val="222A1CD6"/>
    <w:rsid w:val="222F2CD2"/>
    <w:rsid w:val="22327411"/>
    <w:rsid w:val="224704B5"/>
    <w:rsid w:val="22517C8A"/>
    <w:rsid w:val="22521CFA"/>
    <w:rsid w:val="22524403"/>
    <w:rsid w:val="225838E4"/>
    <w:rsid w:val="22627594"/>
    <w:rsid w:val="2268066E"/>
    <w:rsid w:val="2268361F"/>
    <w:rsid w:val="227151A7"/>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664593"/>
    <w:rsid w:val="2371794D"/>
    <w:rsid w:val="237241FA"/>
    <w:rsid w:val="2378293D"/>
    <w:rsid w:val="238907C0"/>
    <w:rsid w:val="2397403C"/>
    <w:rsid w:val="23985ED3"/>
    <w:rsid w:val="23A276E9"/>
    <w:rsid w:val="23A648EC"/>
    <w:rsid w:val="23BB6B9F"/>
    <w:rsid w:val="23D84978"/>
    <w:rsid w:val="23E30D15"/>
    <w:rsid w:val="23F64837"/>
    <w:rsid w:val="24002062"/>
    <w:rsid w:val="24177C0E"/>
    <w:rsid w:val="242B4894"/>
    <w:rsid w:val="242D4168"/>
    <w:rsid w:val="243015F1"/>
    <w:rsid w:val="24394219"/>
    <w:rsid w:val="243A0633"/>
    <w:rsid w:val="2447553C"/>
    <w:rsid w:val="24636B1F"/>
    <w:rsid w:val="247D732F"/>
    <w:rsid w:val="24823F7B"/>
    <w:rsid w:val="24890281"/>
    <w:rsid w:val="248E6B6A"/>
    <w:rsid w:val="24972A3B"/>
    <w:rsid w:val="24AA72D7"/>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83B09"/>
    <w:rsid w:val="257D32AD"/>
    <w:rsid w:val="25801FB4"/>
    <w:rsid w:val="2586296F"/>
    <w:rsid w:val="258A1146"/>
    <w:rsid w:val="25934BCC"/>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2A0E33"/>
    <w:rsid w:val="273424B1"/>
    <w:rsid w:val="273B79BB"/>
    <w:rsid w:val="2744778D"/>
    <w:rsid w:val="274517C9"/>
    <w:rsid w:val="27473777"/>
    <w:rsid w:val="274C182B"/>
    <w:rsid w:val="276500BD"/>
    <w:rsid w:val="27672156"/>
    <w:rsid w:val="277A7A25"/>
    <w:rsid w:val="27876184"/>
    <w:rsid w:val="27983FEE"/>
    <w:rsid w:val="27A11B8B"/>
    <w:rsid w:val="27B7274B"/>
    <w:rsid w:val="27C54CC7"/>
    <w:rsid w:val="27C64BC1"/>
    <w:rsid w:val="27CC5810"/>
    <w:rsid w:val="27D172AC"/>
    <w:rsid w:val="27D8263D"/>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71A56"/>
    <w:rsid w:val="28F83170"/>
    <w:rsid w:val="28FF1F13"/>
    <w:rsid w:val="29013947"/>
    <w:rsid w:val="29021573"/>
    <w:rsid w:val="291D29FD"/>
    <w:rsid w:val="292C0E92"/>
    <w:rsid w:val="294837F2"/>
    <w:rsid w:val="294A53DB"/>
    <w:rsid w:val="294D3CDA"/>
    <w:rsid w:val="296C2B95"/>
    <w:rsid w:val="29745FA3"/>
    <w:rsid w:val="29A947C3"/>
    <w:rsid w:val="29AD4C94"/>
    <w:rsid w:val="29AF4444"/>
    <w:rsid w:val="29BD7D3C"/>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45B2D"/>
    <w:rsid w:val="2B667F60"/>
    <w:rsid w:val="2B704098"/>
    <w:rsid w:val="2B7C5D60"/>
    <w:rsid w:val="2B843173"/>
    <w:rsid w:val="2B8D6429"/>
    <w:rsid w:val="2B8E0864"/>
    <w:rsid w:val="2B965328"/>
    <w:rsid w:val="2B985E06"/>
    <w:rsid w:val="2BAD3B9A"/>
    <w:rsid w:val="2BB26EE1"/>
    <w:rsid w:val="2BC30594"/>
    <w:rsid w:val="2BCA04EF"/>
    <w:rsid w:val="2BD15794"/>
    <w:rsid w:val="2BD33057"/>
    <w:rsid w:val="2BD83010"/>
    <w:rsid w:val="2BF20D2E"/>
    <w:rsid w:val="2BF96901"/>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32F1B"/>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BD47AF"/>
    <w:rsid w:val="2DC00143"/>
    <w:rsid w:val="2DC45542"/>
    <w:rsid w:val="2DD30DD3"/>
    <w:rsid w:val="2DD35D80"/>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EFF4953"/>
    <w:rsid w:val="2F0466B8"/>
    <w:rsid w:val="2F11106B"/>
    <w:rsid w:val="2F1B0F90"/>
    <w:rsid w:val="2F1C4972"/>
    <w:rsid w:val="2F2577CD"/>
    <w:rsid w:val="2F283B4E"/>
    <w:rsid w:val="2F48454C"/>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435EDA"/>
    <w:rsid w:val="315C5CED"/>
    <w:rsid w:val="31614603"/>
    <w:rsid w:val="317A1B66"/>
    <w:rsid w:val="317F1D7B"/>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4546A3"/>
    <w:rsid w:val="3256359F"/>
    <w:rsid w:val="325713D2"/>
    <w:rsid w:val="32693798"/>
    <w:rsid w:val="327D4E1A"/>
    <w:rsid w:val="32827D75"/>
    <w:rsid w:val="32835020"/>
    <w:rsid w:val="3289140B"/>
    <w:rsid w:val="32935ADE"/>
    <w:rsid w:val="32954F65"/>
    <w:rsid w:val="32990B86"/>
    <w:rsid w:val="329D1A9E"/>
    <w:rsid w:val="32A113F2"/>
    <w:rsid w:val="32AF11BA"/>
    <w:rsid w:val="32B439C8"/>
    <w:rsid w:val="32C178E7"/>
    <w:rsid w:val="32C263C3"/>
    <w:rsid w:val="32CB2FFC"/>
    <w:rsid w:val="32DC0656"/>
    <w:rsid w:val="32E901DF"/>
    <w:rsid w:val="32F72511"/>
    <w:rsid w:val="32FC0D80"/>
    <w:rsid w:val="330E7511"/>
    <w:rsid w:val="331001CE"/>
    <w:rsid w:val="331C3D26"/>
    <w:rsid w:val="331C7FC2"/>
    <w:rsid w:val="33222674"/>
    <w:rsid w:val="33240E2C"/>
    <w:rsid w:val="333B6726"/>
    <w:rsid w:val="333F5C66"/>
    <w:rsid w:val="33416700"/>
    <w:rsid w:val="33424721"/>
    <w:rsid w:val="334C600B"/>
    <w:rsid w:val="33553755"/>
    <w:rsid w:val="336E3487"/>
    <w:rsid w:val="337B6038"/>
    <w:rsid w:val="337C75AB"/>
    <w:rsid w:val="33864261"/>
    <w:rsid w:val="339733AC"/>
    <w:rsid w:val="339E0BDF"/>
    <w:rsid w:val="33BE4CD6"/>
    <w:rsid w:val="33D51078"/>
    <w:rsid w:val="33DB3B1B"/>
    <w:rsid w:val="33DD13A6"/>
    <w:rsid w:val="33E04CCE"/>
    <w:rsid w:val="33E1429F"/>
    <w:rsid w:val="3405195D"/>
    <w:rsid w:val="340B69F8"/>
    <w:rsid w:val="341723F9"/>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A7D21"/>
    <w:rsid w:val="351F6CAD"/>
    <w:rsid w:val="35365AD4"/>
    <w:rsid w:val="353B60B2"/>
    <w:rsid w:val="354D6953"/>
    <w:rsid w:val="35527277"/>
    <w:rsid w:val="35530F4D"/>
    <w:rsid w:val="35585FE5"/>
    <w:rsid w:val="356762C7"/>
    <w:rsid w:val="35747E49"/>
    <w:rsid w:val="35751896"/>
    <w:rsid w:val="357A5F14"/>
    <w:rsid w:val="357B2200"/>
    <w:rsid w:val="357D2006"/>
    <w:rsid w:val="357E4747"/>
    <w:rsid w:val="358443E1"/>
    <w:rsid w:val="358F0A51"/>
    <w:rsid w:val="35970121"/>
    <w:rsid w:val="35A23875"/>
    <w:rsid w:val="35B27C4A"/>
    <w:rsid w:val="35BE2EBC"/>
    <w:rsid w:val="35C83E6A"/>
    <w:rsid w:val="35C9426D"/>
    <w:rsid w:val="35DA1C76"/>
    <w:rsid w:val="35E77FC2"/>
    <w:rsid w:val="35EB1B63"/>
    <w:rsid w:val="35EF4FD0"/>
    <w:rsid w:val="36066674"/>
    <w:rsid w:val="36095147"/>
    <w:rsid w:val="361879E3"/>
    <w:rsid w:val="361B3D26"/>
    <w:rsid w:val="362710E9"/>
    <w:rsid w:val="36323ABF"/>
    <w:rsid w:val="36412360"/>
    <w:rsid w:val="364A0360"/>
    <w:rsid w:val="364B42E6"/>
    <w:rsid w:val="364E63B3"/>
    <w:rsid w:val="36500BB4"/>
    <w:rsid w:val="36552D10"/>
    <w:rsid w:val="366C5DEA"/>
    <w:rsid w:val="36725975"/>
    <w:rsid w:val="3674095D"/>
    <w:rsid w:val="369159C6"/>
    <w:rsid w:val="36A4500F"/>
    <w:rsid w:val="36A5411E"/>
    <w:rsid w:val="36AC3612"/>
    <w:rsid w:val="36B6717B"/>
    <w:rsid w:val="36B74D5D"/>
    <w:rsid w:val="36BA54D8"/>
    <w:rsid w:val="36E01710"/>
    <w:rsid w:val="36E80F65"/>
    <w:rsid w:val="36F76D95"/>
    <w:rsid w:val="372012AD"/>
    <w:rsid w:val="37260B6C"/>
    <w:rsid w:val="373068AF"/>
    <w:rsid w:val="374F2949"/>
    <w:rsid w:val="375010B8"/>
    <w:rsid w:val="375C6DE7"/>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ED7AAD"/>
    <w:rsid w:val="38EE7441"/>
    <w:rsid w:val="38F4304F"/>
    <w:rsid w:val="38FD2365"/>
    <w:rsid w:val="390A580B"/>
    <w:rsid w:val="390B6305"/>
    <w:rsid w:val="394873E0"/>
    <w:rsid w:val="394C5057"/>
    <w:rsid w:val="39590B7E"/>
    <w:rsid w:val="395E5ED6"/>
    <w:rsid w:val="39617FF1"/>
    <w:rsid w:val="3984786F"/>
    <w:rsid w:val="398D3F0C"/>
    <w:rsid w:val="399403B5"/>
    <w:rsid w:val="39944F21"/>
    <w:rsid w:val="399C567C"/>
    <w:rsid w:val="39B53777"/>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CE7FFB"/>
    <w:rsid w:val="3AEA1E7D"/>
    <w:rsid w:val="3B0A69B4"/>
    <w:rsid w:val="3B186723"/>
    <w:rsid w:val="3B2F2287"/>
    <w:rsid w:val="3B392F9B"/>
    <w:rsid w:val="3B40257B"/>
    <w:rsid w:val="3B491CE5"/>
    <w:rsid w:val="3B516D1F"/>
    <w:rsid w:val="3B642666"/>
    <w:rsid w:val="3B681D22"/>
    <w:rsid w:val="3B6A626F"/>
    <w:rsid w:val="3B6E1C80"/>
    <w:rsid w:val="3B7C64DF"/>
    <w:rsid w:val="3B801B02"/>
    <w:rsid w:val="3B8D35D0"/>
    <w:rsid w:val="3B8E6E54"/>
    <w:rsid w:val="3BA47396"/>
    <w:rsid w:val="3BAF7D8C"/>
    <w:rsid w:val="3BB57C67"/>
    <w:rsid w:val="3BCB0C50"/>
    <w:rsid w:val="3BDD064B"/>
    <w:rsid w:val="3BE13D5E"/>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CE85DA5"/>
    <w:rsid w:val="3D0A50FF"/>
    <w:rsid w:val="3D0F35F8"/>
    <w:rsid w:val="3D2A5291"/>
    <w:rsid w:val="3D2C1633"/>
    <w:rsid w:val="3D2D0406"/>
    <w:rsid w:val="3D2D09B8"/>
    <w:rsid w:val="3D326AD9"/>
    <w:rsid w:val="3D347EBE"/>
    <w:rsid w:val="3D4517A6"/>
    <w:rsid w:val="3D475512"/>
    <w:rsid w:val="3D670D8E"/>
    <w:rsid w:val="3D6B0F9C"/>
    <w:rsid w:val="3D7F17A0"/>
    <w:rsid w:val="3D8A5E00"/>
    <w:rsid w:val="3D8E539A"/>
    <w:rsid w:val="3D921E11"/>
    <w:rsid w:val="3D9369DC"/>
    <w:rsid w:val="3D9848F1"/>
    <w:rsid w:val="3DA67D33"/>
    <w:rsid w:val="3DA93D46"/>
    <w:rsid w:val="3DAA0831"/>
    <w:rsid w:val="3DB37A24"/>
    <w:rsid w:val="3DB56894"/>
    <w:rsid w:val="3DCB5089"/>
    <w:rsid w:val="3DD016EE"/>
    <w:rsid w:val="3DD973B3"/>
    <w:rsid w:val="3E08609B"/>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8F7AA2"/>
    <w:rsid w:val="3E92119A"/>
    <w:rsid w:val="3E973520"/>
    <w:rsid w:val="3E992715"/>
    <w:rsid w:val="3EAA5632"/>
    <w:rsid w:val="3EB65743"/>
    <w:rsid w:val="3ECD4DB7"/>
    <w:rsid w:val="3ED46893"/>
    <w:rsid w:val="3EDD1A80"/>
    <w:rsid w:val="3EED0D1F"/>
    <w:rsid w:val="3EEF3412"/>
    <w:rsid w:val="3EF73899"/>
    <w:rsid w:val="3EFC0365"/>
    <w:rsid w:val="3EFE4C27"/>
    <w:rsid w:val="3F0D7A39"/>
    <w:rsid w:val="3F122B9E"/>
    <w:rsid w:val="3F1955BD"/>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670D18"/>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13392"/>
    <w:rsid w:val="40F905F3"/>
    <w:rsid w:val="4120079E"/>
    <w:rsid w:val="41422495"/>
    <w:rsid w:val="41686912"/>
    <w:rsid w:val="418C02C8"/>
    <w:rsid w:val="41982499"/>
    <w:rsid w:val="41A575DC"/>
    <w:rsid w:val="41B75800"/>
    <w:rsid w:val="41B8433E"/>
    <w:rsid w:val="41B9083E"/>
    <w:rsid w:val="41BE6594"/>
    <w:rsid w:val="41E15E55"/>
    <w:rsid w:val="41F64D82"/>
    <w:rsid w:val="41FA4EAC"/>
    <w:rsid w:val="4202058A"/>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DE4B54"/>
    <w:rsid w:val="42EB63C1"/>
    <w:rsid w:val="42FF15D5"/>
    <w:rsid w:val="430C6383"/>
    <w:rsid w:val="431762B8"/>
    <w:rsid w:val="43290FCB"/>
    <w:rsid w:val="43321BC6"/>
    <w:rsid w:val="4352371B"/>
    <w:rsid w:val="43661A84"/>
    <w:rsid w:val="436734D2"/>
    <w:rsid w:val="43747266"/>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E4041B"/>
    <w:rsid w:val="44FA2613"/>
    <w:rsid w:val="44FB1D29"/>
    <w:rsid w:val="44FC5765"/>
    <w:rsid w:val="45040DE8"/>
    <w:rsid w:val="450F099A"/>
    <w:rsid w:val="4517557B"/>
    <w:rsid w:val="45203454"/>
    <w:rsid w:val="452F47DD"/>
    <w:rsid w:val="453606AF"/>
    <w:rsid w:val="453E56C7"/>
    <w:rsid w:val="454F3AE7"/>
    <w:rsid w:val="45651A06"/>
    <w:rsid w:val="45660E30"/>
    <w:rsid w:val="4567455C"/>
    <w:rsid w:val="45760AF7"/>
    <w:rsid w:val="4579321A"/>
    <w:rsid w:val="457A4CD3"/>
    <w:rsid w:val="457C68A6"/>
    <w:rsid w:val="45800CA7"/>
    <w:rsid w:val="458D7C03"/>
    <w:rsid w:val="458E6DB7"/>
    <w:rsid w:val="458F70A8"/>
    <w:rsid w:val="459B4F7E"/>
    <w:rsid w:val="45A45615"/>
    <w:rsid w:val="45BC2225"/>
    <w:rsid w:val="45C62DBF"/>
    <w:rsid w:val="45D0117F"/>
    <w:rsid w:val="45FA1807"/>
    <w:rsid w:val="461865CE"/>
    <w:rsid w:val="46226A68"/>
    <w:rsid w:val="463F66F8"/>
    <w:rsid w:val="464909B1"/>
    <w:rsid w:val="464C493B"/>
    <w:rsid w:val="465368CE"/>
    <w:rsid w:val="465855E4"/>
    <w:rsid w:val="46595D07"/>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99729B"/>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503B6"/>
    <w:rsid w:val="48672E9B"/>
    <w:rsid w:val="4871396F"/>
    <w:rsid w:val="48775CA1"/>
    <w:rsid w:val="48830BD3"/>
    <w:rsid w:val="48877A3B"/>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7E2BEC"/>
    <w:rsid w:val="4981092F"/>
    <w:rsid w:val="498135F6"/>
    <w:rsid w:val="49835664"/>
    <w:rsid w:val="49873BD5"/>
    <w:rsid w:val="499601EF"/>
    <w:rsid w:val="49A41527"/>
    <w:rsid w:val="49B537A0"/>
    <w:rsid w:val="49BF4743"/>
    <w:rsid w:val="49DE37C0"/>
    <w:rsid w:val="49E0330D"/>
    <w:rsid w:val="49E87E68"/>
    <w:rsid w:val="4A015B5C"/>
    <w:rsid w:val="4A01737A"/>
    <w:rsid w:val="4A1202BB"/>
    <w:rsid w:val="4A246EBE"/>
    <w:rsid w:val="4A2700A1"/>
    <w:rsid w:val="4A282BDA"/>
    <w:rsid w:val="4A286032"/>
    <w:rsid w:val="4A397C53"/>
    <w:rsid w:val="4A796311"/>
    <w:rsid w:val="4A7B722F"/>
    <w:rsid w:val="4A82670C"/>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DC1E4C"/>
    <w:rsid w:val="4BE807F1"/>
    <w:rsid w:val="4BF93936"/>
    <w:rsid w:val="4C294590"/>
    <w:rsid w:val="4C2C2250"/>
    <w:rsid w:val="4C322AC3"/>
    <w:rsid w:val="4C417F50"/>
    <w:rsid w:val="4C480E82"/>
    <w:rsid w:val="4C4C6FD2"/>
    <w:rsid w:val="4C516396"/>
    <w:rsid w:val="4C5529D6"/>
    <w:rsid w:val="4C5D3778"/>
    <w:rsid w:val="4C8449BE"/>
    <w:rsid w:val="4C8A18A8"/>
    <w:rsid w:val="4CE45D70"/>
    <w:rsid w:val="4CED61D5"/>
    <w:rsid w:val="4CF17F09"/>
    <w:rsid w:val="4D1A7C62"/>
    <w:rsid w:val="4D1D1133"/>
    <w:rsid w:val="4D1E6ED1"/>
    <w:rsid w:val="4D202FDB"/>
    <w:rsid w:val="4D3C78EB"/>
    <w:rsid w:val="4D3D0820"/>
    <w:rsid w:val="4D476821"/>
    <w:rsid w:val="4D5B1648"/>
    <w:rsid w:val="4D76468F"/>
    <w:rsid w:val="4D7A0F6F"/>
    <w:rsid w:val="4D865214"/>
    <w:rsid w:val="4D877AF1"/>
    <w:rsid w:val="4D966547"/>
    <w:rsid w:val="4D9927B6"/>
    <w:rsid w:val="4D9C2B26"/>
    <w:rsid w:val="4D9F063F"/>
    <w:rsid w:val="4DAF7B35"/>
    <w:rsid w:val="4DB425B2"/>
    <w:rsid w:val="4DB85B55"/>
    <w:rsid w:val="4DC57ECC"/>
    <w:rsid w:val="4DCB31F4"/>
    <w:rsid w:val="4DCF0943"/>
    <w:rsid w:val="4DDC5268"/>
    <w:rsid w:val="4DF01987"/>
    <w:rsid w:val="4DF711BF"/>
    <w:rsid w:val="4DF97015"/>
    <w:rsid w:val="4E057729"/>
    <w:rsid w:val="4E1B709E"/>
    <w:rsid w:val="4E1E7579"/>
    <w:rsid w:val="4E247DB2"/>
    <w:rsid w:val="4E273DE5"/>
    <w:rsid w:val="4E3C1285"/>
    <w:rsid w:val="4E622240"/>
    <w:rsid w:val="4E6E199A"/>
    <w:rsid w:val="4E732B63"/>
    <w:rsid w:val="4E80465C"/>
    <w:rsid w:val="4E816CDB"/>
    <w:rsid w:val="4E832A53"/>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21B45"/>
    <w:rsid w:val="4ED92F42"/>
    <w:rsid w:val="4EE52ED6"/>
    <w:rsid w:val="4EF32A24"/>
    <w:rsid w:val="4F03417E"/>
    <w:rsid w:val="4F055F79"/>
    <w:rsid w:val="4F0767F7"/>
    <w:rsid w:val="4F0911AA"/>
    <w:rsid w:val="4F0B5F04"/>
    <w:rsid w:val="4F2E3F43"/>
    <w:rsid w:val="4F311311"/>
    <w:rsid w:val="4F323FD1"/>
    <w:rsid w:val="4F384C4E"/>
    <w:rsid w:val="4F3D1DA7"/>
    <w:rsid w:val="4F462DD4"/>
    <w:rsid w:val="4F530FED"/>
    <w:rsid w:val="4F793A96"/>
    <w:rsid w:val="4F883EEC"/>
    <w:rsid w:val="4F8F3395"/>
    <w:rsid w:val="4F980C3B"/>
    <w:rsid w:val="4FA13721"/>
    <w:rsid w:val="4FB55F4A"/>
    <w:rsid w:val="4FBE4051"/>
    <w:rsid w:val="4FE17E71"/>
    <w:rsid w:val="4FF05A13"/>
    <w:rsid w:val="4FF3367C"/>
    <w:rsid w:val="4FF85A65"/>
    <w:rsid w:val="500908E9"/>
    <w:rsid w:val="500A3041"/>
    <w:rsid w:val="5018040F"/>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479A3"/>
    <w:rsid w:val="521535B8"/>
    <w:rsid w:val="521F2B8A"/>
    <w:rsid w:val="52336A15"/>
    <w:rsid w:val="5244074B"/>
    <w:rsid w:val="52493113"/>
    <w:rsid w:val="52505F78"/>
    <w:rsid w:val="5253273C"/>
    <w:rsid w:val="52633E29"/>
    <w:rsid w:val="526B3F2A"/>
    <w:rsid w:val="527219DE"/>
    <w:rsid w:val="52766961"/>
    <w:rsid w:val="527903F5"/>
    <w:rsid w:val="527A7CB3"/>
    <w:rsid w:val="52A07386"/>
    <w:rsid w:val="52A164E9"/>
    <w:rsid w:val="52AB07CA"/>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35B89"/>
    <w:rsid w:val="53B75823"/>
    <w:rsid w:val="53BD62D5"/>
    <w:rsid w:val="53C02595"/>
    <w:rsid w:val="53C3268C"/>
    <w:rsid w:val="53E27505"/>
    <w:rsid w:val="53FD66C5"/>
    <w:rsid w:val="53FE221A"/>
    <w:rsid w:val="53FF0758"/>
    <w:rsid w:val="540469E4"/>
    <w:rsid w:val="541073E2"/>
    <w:rsid w:val="541F62E9"/>
    <w:rsid w:val="54231CBD"/>
    <w:rsid w:val="5427555A"/>
    <w:rsid w:val="544016AA"/>
    <w:rsid w:val="544E7FAE"/>
    <w:rsid w:val="545850E2"/>
    <w:rsid w:val="54644B49"/>
    <w:rsid w:val="546754A1"/>
    <w:rsid w:val="546851B8"/>
    <w:rsid w:val="546D3FC4"/>
    <w:rsid w:val="547D31CE"/>
    <w:rsid w:val="548644E1"/>
    <w:rsid w:val="54940827"/>
    <w:rsid w:val="54952D11"/>
    <w:rsid w:val="54A366F7"/>
    <w:rsid w:val="54C067AF"/>
    <w:rsid w:val="54C17623"/>
    <w:rsid w:val="54D02E1F"/>
    <w:rsid w:val="54D57922"/>
    <w:rsid w:val="54D747FA"/>
    <w:rsid w:val="54DC2538"/>
    <w:rsid w:val="55061532"/>
    <w:rsid w:val="550B1741"/>
    <w:rsid w:val="552F6B42"/>
    <w:rsid w:val="55302A23"/>
    <w:rsid w:val="5540430F"/>
    <w:rsid w:val="554C162A"/>
    <w:rsid w:val="5550301C"/>
    <w:rsid w:val="55533D66"/>
    <w:rsid w:val="556F517F"/>
    <w:rsid w:val="557C4E2A"/>
    <w:rsid w:val="559430BC"/>
    <w:rsid w:val="559F3D1D"/>
    <w:rsid w:val="55BC2A71"/>
    <w:rsid w:val="55D66A87"/>
    <w:rsid w:val="55E30C67"/>
    <w:rsid w:val="55E409B1"/>
    <w:rsid w:val="56052016"/>
    <w:rsid w:val="560C2DCE"/>
    <w:rsid w:val="562B7073"/>
    <w:rsid w:val="562B79CA"/>
    <w:rsid w:val="56341519"/>
    <w:rsid w:val="56411A06"/>
    <w:rsid w:val="564E3947"/>
    <w:rsid w:val="56515D03"/>
    <w:rsid w:val="565F4031"/>
    <w:rsid w:val="567D15B1"/>
    <w:rsid w:val="56811AD2"/>
    <w:rsid w:val="5698669C"/>
    <w:rsid w:val="56A417B8"/>
    <w:rsid w:val="56B45E9F"/>
    <w:rsid w:val="56C70DE4"/>
    <w:rsid w:val="56D55DC9"/>
    <w:rsid w:val="56D92FA8"/>
    <w:rsid w:val="56ED315F"/>
    <w:rsid w:val="56F41E0B"/>
    <w:rsid w:val="570F33D0"/>
    <w:rsid w:val="57204187"/>
    <w:rsid w:val="57266C0E"/>
    <w:rsid w:val="572F79EC"/>
    <w:rsid w:val="57380A88"/>
    <w:rsid w:val="57450F26"/>
    <w:rsid w:val="574D3BFE"/>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3077A8"/>
    <w:rsid w:val="58331046"/>
    <w:rsid w:val="583E59F7"/>
    <w:rsid w:val="5847175B"/>
    <w:rsid w:val="58586865"/>
    <w:rsid w:val="585D60C3"/>
    <w:rsid w:val="58685B86"/>
    <w:rsid w:val="58756FE2"/>
    <w:rsid w:val="58903FE2"/>
    <w:rsid w:val="5892191B"/>
    <w:rsid w:val="58A667DA"/>
    <w:rsid w:val="58AF56DF"/>
    <w:rsid w:val="58B06B3A"/>
    <w:rsid w:val="58C521D5"/>
    <w:rsid w:val="58C752DF"/>
    <w:rsid w:val="58DB4DD2"/>
    <w:rsid w:val="58DF12A8"/>
    <w:rsid w:val="58EC5AC3"/>
    <w:rsid w:val="58ED289F"/>
    <w:rsid w:val="58ED7217"/>
    <w:rsid w:val="58EE3EA2"/>
    <w:rsid w:val="58FB162E"/>
    <w:rsid w:val="590A0FE6"/>
    <w:rsid w:val="5917721D"/>
    <w:rsid w:val="591B4018"/>
    <w:rsid w:val="59200A62"/>
    <w:rsid w:val="592A14B9"/>
    <w:rsid w:val="5933571A"/>
    <w:rsid w:val="59352B9C"/>
    <w:rsid w:val="59610683"/>
    <w:rsid w:val="597150E5"/>
    <w:rsid w:val="597F0DF8"/>
    <w:rsid w:val="59995ABA"/>
    <w:rsid w:val="59A938D2"/>
    <w:rsid w:val="59B05414"/>
    <w:rsid w:val="59B52271"/>
    <w:rsid w:val="59B85B4B"/>
    <w:rsid w:val="59E53864"/>
    <w:rsid w:val="5A0E2472"/>
    <w:rsid w:val="5A1678AB"/>
    <w:rsid w:val="5A24124F"/>
    <w:rsid w:val="5A300FAB"/>
    <w:rsid w:val="5A384712"/>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3086B"/>
    <w:rsid w:val="5B655E57"/>
    <w:rsid w:val="5B6D681B"/>
    <w:rsid w:val="5B7420A1"/>
    <w:rsid w:val="5B7A1BFB"/>
    <w:rsid w:val="5B9058E1"/>
    <w:rsid w:val="5B9059C0"/>
    <w:rsid w:val="5B96687A"/>
    <w:rsid w:val="5BA66DF2"/>
    <w:rsid w:val="5BAC6BE8"/>
    <w:rsid w:val="5BBB382C"/>
    <w:rsid w:val="5BBE7F92"/>
    <w:rsid w:val="5BD9443C"/>
    <w:rsid w:val="5C013209"/>
    <w:rsid w:val="5C061473"/>
    <w:rsid w:val="5C0E2CDD"/>
    <w:rsid w:val="5C1D1CA2"/>
    <w:rsid w:val="5C1E4C32"/>
    <w:rsid w:val="5C2004F5"/>
    <w:rsid w:val="5C356D4E"/>
    <w:rsid w:val="5C3D32BA"/>
    <w:rsid w:val="5C400FE7"/>
    <w:rsid w:val="5C544AA0"/>
    <w:rsid w:val="5C597646"/>
    <w:rsid w:val="5C744C5C"/>
    <w:rsid w:val="5C8C6D7E"/>
    <w:rsid w:val="5C937ADE"/>
    <w:rsid w:val="5C9B365E"/>
    <w:rsid w:val="5CB02E9A"/>
    <w:rsid w:val="5CC95415"/>
    <w:rsid w:val="5CCC4A29"/>
    <w:rsid w:val="5CD73CF4"/>
    <w:rsid w:val="5CF36A7B"/>
    <w:rsid w:val="5D0102D3"/>
    <w:rsid w:val="5D0848C0"/>
    <w:rsid w:val="5D0F7AF0"/>
    <w:rsid w:val="5D1A6C78"/>
    <w:rsid w:val="5D1B13DC"/>
    <w:rsid w:val="5D272F70"/>
    <w:rsid w:val="5D276568"/>
    <w:rsid w:val="5D4C0A12"/>
    <w:rsid w:val="5D54445D"/>
    <w:rsid w:val="5D5D7895"/>
    <w:rsid w:val="5D6C5972"/>
    <w:rsid w:val="5D6C6667"/>
    <w:rsid w:val="5D7F4D4A"/>
    <w:rsid w:val="5D8E587B"/>
    <w:rsid w:val="5D9A13AD"/>
    <w:rsid w:val="5DD81CFB"/>
    <w:rsid w:val="5DE22C28"/>
    <w:rsid w:val="5DFB26D4"/>
    <w:rsid w:val="5E033269"/>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53E1"/>
    <w:rsid w:val="5EBE6E21"/>
    <w:rsid w:val="5EC66E93"/>
    <w:rsid w:val="5EC713B7"/>
    <w:rsid w:val="5EEE390A"/>
    <w:rsid w:val="5EF62DCD"/>
    <w:rsid w:val="5EFB1FD2"/>
    <w:rsid w:val="5F0B1D78"/>
    <w:rsid w:val="5F1A2DFE"/>
    <w:rsid w:val="5F1D6235"/>
    <w:rsid w:val="5F2A6692"/>
    <w:rsid w:val="5F406E19"/>
    <w:rsid w:val="5F5729E7"/>
    <w:rsid w:val="5F7843DA"/>
    <w:rsid w:val="5F995AA7"/>
    <w:rsid w:val="5FAD7930"/>
    <w:rsid w:val="5FBE26F7"/>
    <w:rsid w:val="5FC17815"/>
    <w:rsid w:val="5FCD1FBF"/>
    <w:rsid w:val="5FCF79FB"/>
    <w:rsid w:val="5FE904E2"/>
    <w:rsid w:val="5FE92EC8"/>
    <w:rsid w:val="5FEC4A77"/>
    <w:rsid w:val="5FFC08B7"/>
    <w:rsid w:val="600B4656"/>
    <w:rsid w:val="60266554"/>
    <w:rsid w:val="602F47E9"/>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5A4BAF"/>
    <w:rsid w:val="61625A2D"/>
    <w:rsid w:val="61783A3D"/>
    <w:rsid w:val="617F491F"/>
    <w:rsid w:val="61925C13"/>
    <w:rsid w:val="61952B5D"/>
    <w:rsid w:val="61A95CE7"/>
    <w:rsid w:val="61AE19EB"/>
    <w:rsid w:val="61BC2817"/>
    <w:rsid w:val="61BF1B9C"/>
    <w:rsid w:val="61C44616"/>
    <w:rsid w:val="61CE07AB"/>
    <w:rsid w:val="61D25C8D"/>
    <w:rsid w:val="61D4389A"/>
    <w:rsid w:val="61DD3FEA"/>
    <w:rsid w:val="61DE64DD"/>
    <w:rsid w:val="61E512DB"/>
    <w:rsid w:val="61E92F65"/>
    <w:rsid w:val="61EF2482"/>
    <w:rsid w:val="61F65545"/>
    <w:rsid w:val="621220C8"/>
    <w:rsid w:val="621A15B0"/>
    <w:rsid w:val="621C3655"/>
    <w:rsid w:val="623F1D73"/>
    <w:rsid w:val="62427E39"/>
    <w:rsid w:val="6247289E"/>
    <w:rsid w:val="62514EEA"/>
    <w:rsid w:val="625D15DE"/>
    <w:rsid w:val="62600C89"/>
    <w:rsid w:val="626A2816"/>
    <w:rsid w:val="627D1458"/>
    <w:rsid w:val="62835480"/>
    <w:rsid w:val="62A74C9F"/>
    <w:rsid w:val="62AD7217"/>
    <w:rsid w:val="62B31E89"/>
    <w:rsid w:val="62C16DC0"/>
    <w:rsid w:val="62CB5FF0"/>
    <w:rsid w:val="62CC27C3"/>
    <w:rsid w:val="62CC4571"/>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AC368C"/>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42425"/>
    <w:rsid w:val="64573895"/>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A1A23"/>
    <w:rsid w:val="652C579B"/>
    <w:rsid w:val="655C1E5D"/>
    <w:rsid w:val="655F478C"/>
    <w:rsid w:val="656048B5"/>
    <w:rsid w:val="65611CBE"/>
    <w:rsid w:val="65707F62"/>
    <w:rsid w:val="658D7083"/>
    <w:rsid w:val="65BC050F"/>
    <w:rsid w:val="65BD4816"/>
    <w:rsid w:val="65D200F0"/>
    <w:rsid w:val="65E571C8"/>
    <w:rsid w:val="65EA735F"/>
    <w:rsid w:val="65ED4397"/>
    <w:rsid w:val="65F12633"/>
    <w:rsid w:val="66054080"/>
    <w:rsid w:val="66124991"/>
    <w:rsid w:val="66195D1F"/>
    <w:rsid w:val="661A5D47"/>
    <w:rsid w:val="661F549B"/>
    <w:rsid w:val="66223A36"/>
    <w:rsid w:val="662A4A23"/>
    <w:rsid w:val="66326DE1"/>
    <w:rsid w:val="66430AE1"/>
    <w:rsid w:val="66503714"/>
    <w:rsid w:val="665F74AA"/>
    <w:rsid w:val="666A7158"/>
    <w:rsid w:val="667D40AC"/>
    <w:rsid w:val="667E5054"/>
    <w:rsid w:val="66815672"/>
    <w:rsid w:val="6683704C"/>
    <w:rsid w:val="668A14BE"/>
    <w:rsid w:val="669435F8"/>
    <w:rsid w:val="66A5386C"/>
    <w:rsid w:val="66CA7019"/>
    <w:rsid w:val="66D954ED"/>
    <w:rsid w:val="66E33D41"/>
    <w:rsid w:val="66E720AA"/>
    <w:rsid w:val="66F75934"/>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00D02"/>
    <w:rsid w:val="67F14704"/>
    <w:rsid w:val="681E7ECA"/>
    <w:rsid w:val="682B65B1"/>
    <w:rsid w:val="68420884"/>
    <w:rsid w:val="684E28F8"/>
    <w:rsid w:val="686B27FF"/>
    <w:rsid w:val="68703A9E"/>
    <w:rsid w:val="68855A28"/>
    <w:rsid w:val="688B3BAF"/>
    <w:rsid w:val="689A5A71"/>
    <w:rsid w:val="68A75A91"/>
    <w:rsid w:val="68AA7102"/>
    <w:rsid w:val="68B02809"/>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9C4FFF"/>
    <w:rsid w:val="69A045A3"/>
    <w:rsid w:val="69AA15D2"/>
    <w:rsid w:val="69B94D1D"/>
    <w:rsid w:val="69BD10B7"/>
    <w:rsid w:val="69BF0227"/>
    <w:rsid w:val="69C4365D"/>
    <w:rsid w:val="69D1246D"/>
    <w:rsid w:val="69E36BAA"/>
    <w:rsid w:val="69E834AA"/>
    <w:rsid w:val="69EB42BB"/>
    <w:rsid w:val="6A322FEF"/>
    <w:rsid w:val="6A477103"/>
    <w:rsid w:val="6A486BD3"/>
    <w:rsid w:val="6A591946"/>
    <w:rsid w:val="6A69079A"/>
    <w:rsid w:val="6A6C0D54"/>
    <w:rsid w:val="6A786D8C"/>
    <w:rsid w:val="6A8C272E"/>
    <w:rsid w:val="6A984028"/>
    <w:rsid w:val="6AB71390"/>
    <w:rsid w:val="6ABB5DAB"/>
    <w:rsid w:val="6AC40A7F"/>
    <w:rsid w:val="6ACB4124"/>
    <w:rsid w:val="6ACF10CC"/>
    <w:rsid w:val="6AF127EC"/>
    <w:rsid w:val="6AFA42CB"/>
    <w:rsid w:val="6B015ED8"/>
    <w:rsid w:val="6B0D1532"/>
    <w:rsid w:val="6B2B5269"/>
    <w:rsid w:val="6B2B5D22"/>
    <w:rsid w:val="6B4E57BB"/>
    <w:rsid w:val="6B513148"/>
    <w:rsid w:val="6B56478E"/>
    <w:rsid w:val="6B647753"/>
    <w:rsid w:val="6B7E2AFD"/>
    <w:rsid w:val="6B8E5844"/>
    <w:rsid w:val="6B945E48"/>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A748E"/>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C01176"/>
    <w:rsid w:val="6DD2095A"/>
    <w:rsid w:val="6DDC30BC"/>
    <w:rsid w:val="6DDD7BF2"/>
    <w:rsid w:val="6DEE183F"/>
    <w:rsid w:val="6DF23DD0"/>
    <w:rsid w:val="6DF6714D"/>
    <w:rsid w:val="6DF95032"/>
    <w:rsid w:val="6E0136AD"/>
    <w:rsid w:val="6E023052"/>
    <w:rsid w:val="6E111DFC"/>
    <w:rsid w:val="6E1D3ED3"/>
    <w:rsid w:val="6E2414B8"/>
    <w:rsid w:val="6E382BA0"/>
    <w:rsid w:val="6E47470B"/>
    <w:rsid w:val="6E47741D"/>
    <w:rsid w:val="6E5378F4"/>
    <w:rsid w:val="6E7B5C0E"/>
    <w:rsid w:val="6E8201DA"/>
    <w:rsid w:val="6E827BFD"/>
    <w:rsid w:val="6E83614F"/>
    <w:rsid w:val="6E8535DD"/>
    <w:rsid w:val="6E8E6B7E"/>
    <w:rsid w:val="6E9847AA"/>
    <w:rsid w:val="6EF365BB"/>
    <w:rsid w:val="6EFB4CF6"/>
    <w:rsid w:val="6F1A72DF"/>
    <w:rsid w:val="6F2A36F6"/>
    <w:rsid w:val="6F327E52"/>
    <w:rsid w:val="6F397287"/>
    <w:rsid w:val="6F410ABA"/>
    <w:rsid w:val="6F60590D"/>
    <w:rsid w:val="6F6079D6"/>
    <w:rsid w:val="6F642C05"/>
    <w:rsid w:val="6F711839"/>
    <w:rsid w:val="6F750326"/>
    <w:rsid w:val="6F80296B"/>
    <w:rsid w:val="6F821CDE"/>
    <w:rsid w:val="6F881820"/>
    <w:rsid w:val="6F920302"/>
    <w:rsid w:val="6F931D99"/>
    <w:rsid w:val="6F964E5B"/>
    <w:rsid w:val="6F9B0185"/>
    <w:rsid w:val="6FA04AAA"/>
    <w:rsid w:val="6FAF3D7E"/>
    <w:rsid w:val="6FAF6D6D"/>
    <w:rsid w:val="6FBB7E67"/>
    <w:rsid w:val="6FC24297"/>
    <w:rsid w:val="6FC36CFC"/>
    <w:rsid w:val="6FD35191"/>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41506"/>
    <w:rsid w:val="708446DD"/>
    <w:rsid w:val="7085583C"/>
    <w:rsid w:val="708C533F"/>
    <w:rsid w:val="708D0E5C"/>
    <w:rsid w:val="70A92A4E"/>
    <w:rsid w:val="70CA6ECF"/>
    <w:rsid w:val="70D86148"/>
    <w:rsid w:val="70DA254F"/>
    <w:rsid w:val="70DB16E8"/>
    <w:rsid w:val="70DE7D7F"/>
    <w:rsid w:val="70FD2A7E"/>
    <w:rsid w:val="71074CF4"/>
    <w:rsid w:val="71121CE9"/>
    <w:rsid w:val="71282CE6"/>
    <w:rsid w:val="712B2DAA"/>
    <w:rsid w:val="713814D1"/>
    <w:rsid w:val="71436E6A"/>
    <w:rsid w:val="71471D08"/>
    <w:rsid w:val="714C7CA3"/>
    <w:rsid w:val="714F6A99"/>
    <w:rsid w:val="71634126"/>
    <w:rsid w:val="716D2A07"/>
    <w:rsid w:val="71705795"/>
    <w:rsid w:val="71731D72"/>
    <w:rsid w:val="71A60F84"/>
    <w:rsid w:val="71A61E2A"/>
    <w:rsid w:val="71BF419D"/>
    <w:rsid w:val="71DF714A"/>
    <w:rsid w:val="71ED5896"/>
    <w:rsid w:val="71F473AF"/>
    <w:rsid w:val="71F86A63"/>
    <w:rsid w:val="720D1A15"/>
    <w:rsid w:val="722577FA"/>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2FD2525"/>
    <w:rsid w:val="730C0961"/>
    <w:rsid w:val="73100BB1"/>
    <w:rsid w:val="7319070C"/>
    <w:rsid w:val="731A46C8"/>
    <w:rsid w:val="732950C8"/>
    <w:rsid w:val="733122E5"/>
    <w:rsid w:val="733D31FE"/>
    <w:rsid w:val="733E6DC5"/>
    <w:rsid w:val="735361EB"/>
    <w:rsid w:val="736F27DE"/>
    <w:rsid w:val="73746EBF"/>
    <w:rsid w:val="73780CBE"/>
    <w:rsid w:val="73791846"/>
    <w:rsid w:val="739A58C4"/>
    <w:rsid w:val="739F2EE1"/>
    <w:rsid w:val="73AE03DD"/>
    <w:rsid w:val="73B057E9"/>
    <w:rsid w:val="73BE1CB4"/>
    <w:rsid w:val="73E0481B"/>
    <w:rsid w:val="73E7431D"/>
    <w:rsid w:val="73E84F83"/>
    <w:rsid w:val="73EA2124"/>
    <w:rsid w:val="73EB4C1D"/>
    <w:rsid w:val="73EF0089"/>
    <w:rsid w:val="73F465A7"/>
    <w:rsid w:val="73F87705"/>
    <w:rsid w:val="74052AAA"/>
    <w:rsid w:val="74105A00"/>
    <w:rsid w:val="74143584"/>
    <w:rsid w:val="74152A1E"/>
    <w:rsid w:val="7416564C"/>
    <w:rsid w:val="741A356F"/>
    <w:rsid w:val="7442320A"/>
    <w:rsid w:val="74454185"/>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C537CD"/>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2C8"/>
    <w:rsid w:val="775C488A"/>
    <w:rsid w:val="777D526A"/>
    <w:rsid w:val="77891251"/>
    <w:rsid w:val="778D2888"/>
    <w:rsid w:val="778F59A2"/>
    <w:rsid w:val="779C4248"/>
    <w:rsid w:val="77A805EB"/>
    <w:rsid w:val="77D73344"/>
    <w:rsid w:val="77E9601B"/>
    <w:rsid w:val="77EB7FAB"/>
    <w:rsid w:val="77FE6B23"/>
    <w:rsid w:val="7801254F"/>
    <w:rsid w:val="78014AF9"/>
    <w:rsid w:val="78144598"/>
    <w:rsid w:val="781D6544"/>
    <w:rsid w:val="7826607A"/>
    <w:rsid w:val="78393661"/>
    <w:rsid w:val="78472EFE"/>
    <w:rsid w:val="78746DE5"/>
    <w:rsid w:val="787755CF"/>
    <w:rsid w:val="787C5BC6"/>
    <w:rsid w:val="7884356B"/>
    <w:rsid w:val="78866778"/>
    <w:rsid w:val="789F424A"/>
    <w:rsid w:val="78A06D1B"/>
    <w:rsid w:val="78AD574C"/>
    <w:rsid w:val="78C1076D"/>
    <w:rsid w:val="78C80755"/>
    <w:rsid w:val="78E71CAD"/>
    <w:rsid w:val="78EE2FFF"/>
    <w:rsid w:val="791161EB"/>
    <w:rsid w:val="792C1DB9"/>
    <w:rsid w:val="793F39FB"/>
    <w:rsid w:val="795B547F"/>
    <w:rsid w:val="795D02C2"/>
    <w:rsid w:val="79621333"/>
    <w:rsid w:val="796F6E9B"/>
    <w:rsid w:val="79815925"/>
    <w:rsid w:val="799F20EA"/>
    <w:rsid w:val="79A13F5B"/>
    <w:rsid w:val="79BC7FD8"/>
    <w:rsid w:val="79C04E7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991981"/>
    <w:rsid w:val="7AA117CE"/>
    <w:rsid w:val="7AA46B9B"/>
    <w:rsid w:val="7AB21E46"/>
    <w:rsid w:val="7AB3674F"/>
    <w:rsid w:val="7AB45BBF"/>
    <w:rsid w:val="7ABE6A3D"/>
    <w:rsid w:val="7AC236E0"/>
    <w:rsid w:val="7B230C06"/>
    <w:rsid w:val="7B250039"/>
    <w:rsid w:val="7B2B7A96"/>
    <w:rsid w:val="7B2E6F40"/>
    <w:rsid w:val="7B2F0DB9"/>
    <w:rsid w:val="7B492AB4"/>
    <w:rsid w:val="7B5812E9"/>
    <w:rsid w:val="7B6E6D8B"/>
    <w:rsid w:val="7B8201B5"/>
    <w:rsid w:val="7B891830"/>
    <w:rsid w:val="7B8D0C64"/>
    <w:rsid w:val="7B8E01BE"/>
    <w:rsid w:val="7BBB4D5C"/>
    <w:rsid w:val="7BBC3CAF"/>
    <w:rsid w:val="7BC05E80"/>
    <w:rsid w:val="7BD02F3A"/>
    <w:rsid w:val="7BF17C99"/>
    <w:rsid w:val="7C236804"/>
    <w:rsid w:val="7C252D2F"/>
    <w:rsid w:val="7C4554B8"/>
    <w:rsid w:val="7C4A60FE"/>
    <w:rsid w:val="7C54428D"/>
    <w:rsid w:val="7C574E84"/>
    <w:rsid w:val="7C5E4792"/>
    <w:rsid w:val="7C7A1A6C"/>
    <w:rsid w:val="7C870C47"/>
    <w:rsid w:val="7C896BD7"/>
    <w:rsid w:val="7C933B4E"/>
    <w:rsid w:val="7C985EF6"/>
    <w:rsid w:val="7CB92C74"/>
    <w:rsid w:val="7CC04CEF"/>
    <w:rsid w:val="7CC256FE"/>
    <w:rsid w:val="7CCA3477"/>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6671D0"/>
    <w:rsid w:val="7E7334C1"/>
    <w:rsid w:val="7E7447B8"/>
    <w:rsid w:val="7E7464EF"/>
    <w:rsid w:val="7E7E58CD"/>
    <w:rsid w:val="7E7F2B5A"/>
    <w:rsid w:val="7E7F3309"/>
    <w:rsid w:val="7E930641"/>
    <w:rsid w:val="7E977723"/>
    <w:rsid w:val="7EA82160"/>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3533FA"/>
    <w:rsid w:val="7F533C32"/>
    <w:rsid w:val="7F5A1722"/>
    <w:rsid w:val="7F5E4D31"/>
    <w:rsid w:val="7F6E0F56"/>
    <w:rsid w:val="7F730C03"/>
    <w:rsid w:val="7F7973D7"/>
    <w:rsid w:val="7F7A6DA0"/>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4"/>
    <w:semiHidden/>
    <w:unhideWhenUsed/>
    <w:qFormat/>
    <w:uiPriority w:val="99"/>
    <w:pPr>
      <w:jc w:val="left"/>
    </w:pPr>
  </w:style>
  <w:style w:type="paragraph" w:styleId="7">
    <w:name w:val="Date"/>
    <w:basedOn w:val="1"/>
    <w:next w:val="1"/>
    <w:link w:val="48"/>
    <w:semiHidden/>
    <w:unhideWhenUsed/>
    <w:qFormat/>
    <w:uiPriority w:val="99"/>
    <w:pPr>
      <w:ind w:left="100" w:leftChars="2500"/>
    </w:pPr>
  </w:style>
  <w:style w:type="paragraph" w:styleId="8">
    <w:name w:val="Balloon Text"/>
    <w:basedOn w:val="1"/>
    <w:link w:val="31"/>
    <w:semiHidden/>
    <w:unhideWhenUsed/>
    <w:qFormat/>
    <w:uiPriority w:val="99"/>
    <w:rPr>
      <w:sz w:val="18"/>
      <w:szCs w:val="18"/>
    </w:rPr>
  </w:style>
  <w:style w:type="paragraph" w:styleId="9">
    <w:name w:val="footer"/>
    <w:basedOn w:val="1"/>
    <w:link w:val="30"/>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link w:val="37"/>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45"/>
    <w:semiHidden/>
    <w:unhideWhenUsed/>
    <w:qFormat/>
    <w:uiPriority w:val="99"/>
    <w:rPr>
      <w:b/>
      <w:bCs/>
    </w:r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none"/>
    </w:rPr>
  </w:style>
  <w:style w:type="character" w:styleId="19">
    <w:name w:val="Emphasis"/>
    <w:basedOn w:val="16"/>
    <w:qFormat/>
    <w:uiPriority w:val="0"/>
    <w:rPr>
      <w:i/>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21"/>
      <w:szCs w:val="21"/>
    </w:rPr>
  </w:style>
  <w:style w:type="character" w:customStyle="1" w:styleId="22">
    <w:name w:val="标题 1 字符"/>
    <w:basedOn w:val="16"/>
    <w:link w:val="2"/>
    <w:qFormat/>
    <w:uiPriority w:val="9"/>
    <w:rPr>
      <w:b/>
      <w:bCs/>
      <w:kern w:val="44"/>
      <w:sz w:val="44"/>
      <w:szCs w:val="44"/>
    </w:rPr>
  </w:style>
  <w:style w:type="character" w:customStyle="1" w:styleId="23">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24">
    <w:name w:val="11111"/>
    <w:basedOn w:val="12"/>
    <w:link w:val="26"/>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5">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6">
    <w:name w:val="11111 Char"/>
    <w:link w:val="24"/>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8">
    <w:name w:val="高参二"/>
    <w:basedOn w:val="3"/>
    <w:next w:val="1"/>
    <w:qFormat/>
    <w:uiPriority w:val="0"/>
    <w:pPr>
      <w:spacing w:line="500" w:lineRule="exact"/>
      <w:ind w:firstLine="643" w:firstLineChars="200"/>
    </w:pPr>
    <w:rPr>
      <w:rFonts w:ascii="Arial" w:hAnsi="Arial" w:eastAsia="宋体"/>
      <w:szCs w:val="22"/>
    </w:rPr>
  </w:style>
  <w:style w:type="character" w:customStyle="1" w:styleId="29">
    <w:name w:val="页眉 字符"/>
    <w:basedOn w:val="16"/>
    <w:link w:val="10"/>
    <w:qFormat/>
    <w:uiPriority w:val="99"/>
    <w:rPr>
      <w:sz w:val="18"/>
      <w:szCs w:val="18"/>
    </w:rPr>
  </w:style>
  <w:style w:type="character" w:customStyle="1" w:styleId="30">
    <w:name w:val="页脚 字符"/>
    <w:basedOn w:val="16"/>
    <w:link w:val="9"/>
    <w:qFormat/>
    <w:uiPriority w:val="99"/>
    <w:rPr>
      <w:sz w:val="18"/>
      <w:szCs w:val="18"/>
    </w:rPr>
  </w:style>
  <w:style w:type="character" w:customStyle="1" w:styleId="31">
    <w:name w:val="批注框文本 字符"/>
    <w:basedOn w:val="16"/>
    <w:link w:val="8"/>
    <w:semiHidden/>
    <w:qFormat/>
    <w:uiPriority w:val="99"/>
    <w:rPr>
      <w:sz w:val="18"/>
      <w:szCs w:val="18"/>
    </w:rPr>
  </w:style>
  <w:style w:type="character" w:customStyle="1" w:styleId="32">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33">
    <w:name w:val="标题 3 字符"/>
    <w:basedOn w:val="16"/>
    <w:link w:val="4"/>
    <w:semiHidden/>
    <w:qFormat/>
    <w:uiPriority w:val="9"/>
    <w:rPr>
      <w:b/>
      <w:bCs/>
      <w:sz w:val="32"/>
      <w:szCs w:val="32"/>
    </w:rPr>
  </w:style>
  <w:style w:type="paragraph" w:customStyle="1" w:styleId="34">
    <w:name w:val="_Style 2"/>
    <w:basedOn w:val="1"/>
    <w:next w:val="1"/>
    <w:qFormat/>
    <w:uiPriority w:val="0"/>
    <w:pPr>
      <w:pBdr>
        <w:bottom w:val="single" w:color="auto" w:sz="6" w:space="1"/>
      </w:pBdr>
      <w:jc w:val="center"/>
    </w:pPr>
    <w:rPr>
      <w:rFonts w:ascii="Arial" w:eastAsia="宋体"/>
      <w:vanish/>
      <w:sz w:val="16"/>
    </w:rPr>
  </w:style>
  <w:style w:type="paragraph" w:customStyle="1" w:styleId="35">
    <w:name w:val="_Style 3"/>
    <w:basedOn w:val="1"/>
    <w:next w:val="1"/>
    <w:qFormat/>
    <w:uiPriority w:val="0"/>
    <w:pPr>
      <w:pBdr>
        <w:top w:val="single" w:color="auto" w:sz="6" w:space="1"/>
      </w:pBdr>
      <w:jc w:val="center"/>
    </w:pPr>
    <w:rPr>
      <w:rFonts w:ascii="Arial" w:eastAsia="宋体"/>
      <w:vanish/>
      <w:sz w:val="16"/>
    </w:rPr>
  </w:style>
  <w:style w:type="character" w:customStyle="1" w:styleId="36">
    <w:name w:val="hover20"/>
    <w:basedOn w:val="16"/>
    <w:qFormat/>
    <w:uiPriority w:val="0"/>
    <w:rPr>
      <w:color w:val="557EE7"/>
    </w:rPr>
  </w:style>
  <w:style w:type="character" w:customStyle="1" w:styleId="37">
    <w:name w:val="目录 2 字符"/>
    <w:link w:val="12"/>
    <w:qFormat/>
    <w:uiPriority w:val="39"/>
  </w:style>
  <w:style w:type="paragraph" w:customStyle="1" w:styleId="38">
    <w:name w:val="高参二级"/>
    <w:basedOn w:val="1"/>
    <w:link w:val="39"/>
    <w:qFormat/>
    <w:uiPriority w:val="0"/>
    <w:pPr>
      <w:ind w:firstLine="640" w:firstLineChars="200"/>
    </w:pPr>
    <w:rPr>
      <w:rFonts w:ascii="宋体" w:hAnsi="宋体" w:eastAsia="宋体"/>
      <w:b/>
      <w:sz w:val="32"/>
      <w:szCs w:val="32"/>
    </w:rPr>
  </w:style>
  <w:style w:type="character" w:customStyle="1" w:styleId="39">
    <w:name w:val="高参二级 Char"/>
    <w:basedOn w:val="16"/>
    <w:link w:val="38"/>
    <w:qFormat/>
    <w:uiPriority w:val="0"/>
    <w:rPr>
      <w:rFonts w:ascii="宋体" w:hAnsi="宋体" w:cstheme="minorBidi"/>
      <w:b/>
      <w:kern w:val="2"/>
      <w:sz w:val="32"/>
      <w:szCs w:val="32"/>
    </w:rPr>
  </w:style>
  <w:style w:type="paragraph" w:customStyle="1" w:styleId="40">
    <w:name w:val="高参一级"/>
    <w:basedOn w:val="1"/>
    <w:link w:val="42"/>
    <w:qFormat/>
    <w:uiPriority w:val="0"/>
    <w:pPr>
      <w:spacing w:line="500" w:lineRule="exact"/>
      <w:jc w:val="center"/>
      <w:outlineLvl w:val="0"/>
    </w:pPr>
    <w:rPr>
      <w:rFonts w:ascii="宋体" w:hAnsi="宋体" w:eastAsia="宋体"/>
      <w:b/>
      <w:sz w:val="44"/>
      <w:szCs w:val="44"/>
    </w:rPr>
  </w:style>
  <w:style w:type="paragraph" w:customStyle="1" w:styleId="41">
    <w:name w:val="高参正文"/>
    <w:basedOn w:val="1"/>
    <w:link w:val="43"/>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2">
    <w:name w:val="高参一级 Char"/>
    <w:basedOn w:val="16"/>
    <w:link w:val="40"/>
    <w:qFormat/>
    <w:uiPriority w:val="0"/>
    <w:rPr>
      <w:rFonts w:ascii="宋体" w:hAnsi="宋体" w:cstheme="minorBidi"/>
      <w:b/>
      <w:kern w:val="2"/>
      <w:sz w:val="44"/>
      <w:szCs w:val="44"/>
    </w:rPr>
  </w:style>
  <w:style w:type="character" w:customStyle="1" w:styleId="43">
    <w:name w:val="高参正文 Char"/>
    <w:basedOn w:val="16"/>
    <w:link w:val="41"/>
    <w:qFormat/>
    <w:uiPriority w:val="0"/>
    <w:rPr>
      <w:rFonts w:ascii="宋体" w:hAnsi="宋体"/>
      <w:sz w:val="28"/>
      <w:szCs w:val="28"/>
    </w:rPr>
  </w:style>
  <w:style w:type="character" w:customStyle="1" w:styleId="44">
    <w:name w:val="批注文字 字符"/>
    <w:basedOn w:val="16"/>
    <w:link w:val="6"/>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14"/>
    <w:semiHidden/>
    <w:qFormat/>
    <w:uiPriority w:val="99"/>
    <w:rPr>
      <w:rFonts w:asciiTheme="minorHAnsi" w:hAnsiTheme="minorHAnsi" w:eastAsiaTheme="minorEastAsia" w:cstheme="minorBidi"/>
      <w:b/>
      <w:bCs/>
      <w:kern w:val="2"/>
      <w:sz w:val="21"/>
      <w:szCs w:val="22"/>
    </w:rPr>
  </w:style>
  <w:style w:type="character" w:customStyle="1" w:styleId="46">
    <w:name w:val="未处理的提及1"/>
    <w:basedOn w:val="16"/>
    <w:semiHidden/>
    <w:unhideWhenUsed/>
    <w:qFormat/>
    <w:uiPriority w:val="99"/>
    <w:rPr>
      <w:color w:val="605E5C"/>
      <w:shd w:val="clear" w:color="auto" w:fill="E1DFDD"/>
    </w:rPr>
  </w:style>
  <w:style w:type="character" w:customStyle="1" w:styleId="47">
    <w:name w:val="未处理的提及2"/>
    <w:basedOn w:val="16"/>
    <w:semiHidden/>
    <w:unhideWhenUsed/>
    <w:qFormat/>
    <w:uiPriority w:val="99"/>
    <w:rPr>
      <w:color w:val="605E5C"/>
      <w:shd w:val="clear" w:color="auto" w:fill="E1DFDD"/>
    </w:rPr>
  </w:style>
  <w:style w:type="character" w:customStyle="1" w:styleId="48">
    <w:name w:val="日期 字符"/>
    <w:basedOn w:val="16"/>
    <w:link w:val="7"/>
    <w:semiHidden/>
    <w:qFormat/>
    <w:uiPriority w:val="99"/>
    <w:rPr>
      <w:rFonts w:asciiTheme="minorHAnsi" w:hAnsiTheme="minorHAnsi" w:eastAsiaTheme="minorEastAsia" w:cstheme="minorBidi"/>
      <w:kern w:val="2"/>
      <w:sz w:val="21"/>
      <w:szCs w:val="22"/>
    </w:rPr>
  </w:style>
  <w:style w:type="paragraph" w:customStyle="1" w:styleId="4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23472-8E5F-4102-90CE-02A33D3A9A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2752</Words>
  <Characters>15691</Characters>
  <Lines>130</Lines>
  <Paragraphs>36</Paragraphs>
  <TotalTime>165</TotalTime>
  <ScaleCrop>false</ScaleCrop>
  <LinksUpToDate>false</LinksUpToDate>
  <CharactersWithSpaces>18407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2026-02-28T12:04:00Z</dcterms:created>
  <dc:creator>lenovo</dc:creator>
  <cp:lastModifiedBy>发展规划处公号</cp:lastModifiedBy>
  <cp:lastPrinted>2025-12-30T08:08:00Z</cp:lastPrinted>
  <dcterms:modified xsi:type="dcterms:W3CDTF">2026-03-30T07:12:37Z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E7A195D439EE40ED936E1A7111283B48</vt:lpwstr>
  </property>
</Properties>
</file>