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E464C"/>
          <w:spacing w:val="0"/>
          <w:sz w:val="33"/>
          <w:szCs w:val="33"/>
          <w:shd w:val="clear" w:fill="FFFFFF"/>
        </w:rPr>
        <w:t>2023年度政府采购评审专家征集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E464C"/>
          <w:spacing w:val="0"/>
          <w:sz w:val="33"/>
          <w:szCs w:val="33"/>
          <w:shd w:val="clear" w:fill="FFFFFF"/>
          <w:lang w:val="en-US" w:eastAsia="zh-CN"/>
        </w:rPr>
        <w:t>申请流程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1.四川省政府采购网：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"http://www.ccgp-sichuan.gov.cn/"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http://www.ccgp-sichuan.gov.cn/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7960" cy="3249295"/>
            <wp:effectExtent l="0" t="0" r="8890" b="8255"/>
            <wp:docPr id="1" name="图片 1" descr="169761805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76180539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2.评审专家：注册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729480" cy="3921125"/>
            <wp:effectExtent l="0" t="0" r="13970" b="3175"/>
            <wp:docPr id="2" name="图片 2" descr="1697618105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7618105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3.输入实名制的自己的手机号，点击发送验证码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7960" cy="2767965"/>
            <wp:effectExtent l="0" t="0" r="8890" b="13335"/>
            <wp:docPr id="3" name="图片 3" descr="169761819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76181900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输入“四川财政”发送的申请注册专家库的验证码，点击下一步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输入账户名称，账户密码，确认账户密码，真实姓名，身份证号码，邮箱号码，点击立即注册。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5420" cy="3585845"/>
            <wp:effectExtent l="0" t="0" r="11430" b="14605"/>
            <wp:docPr id="6" name="图片 6" descr="169761860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976186084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注册成功后，登录。在我的信息中，上传职称证书信息、资格证书信息、其他专业证明材料（如有）。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财政厅后续安排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在线培训、统一测试、市州初审后，经财政厅复审、公示、终审入库。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入库后即成为政府采购专家。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33209"/>
    <w:multiLevelType w:val="singleLevel"/>
    <w:tmpl w:val="53B3320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605B9"/>
    <w:rsid w:val="041605B9"/>
    <w:rsid w:val="09677245"/>
    <w:rsid w:val="64D609BC"/>
    <w:rsid w:val="783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2023-10-18T08:33:00Z</dcterms:created>
  <dc:creator>魏来科</dc:creator>
  <cp:lastModifiedBy>魏来科</cp:lastModifiedBy>
  <dcterms:modified xsi:type="dcterms:W3CDTF">2023-10-18T08:49:18Z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E65612F041054DE5BD4987890E6C183D</vt:lpwstr>
  </property>
</Properties>
</file>