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pP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附件2</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w:t>
      </w:r>
      <w:bookmarkStart w:id="0" w:name="_GoBack"/>
      <w:bookmarkEnd w:id="0"/>
    </w:p>
    <w:p>
      <w:pPr>
        <w:keepNext w:val="0"/>
        <w:keepLines w:val="0"/>
        <w:widowControl/>
        <w:suppressLineNumbers w:val="0"/>
        <w:jc w:val="center"/>
        <w:textAlignment w:val="center"/>
        <w:rPr>
          <w:rStyle w:val="6"/>
          <w:rFonts w:hint="eastAsia" w:ascii="方正小标宋简体" w:hAnsi="方正小标宋简体" w:eastAsia="方正小标宋简体" w:cs="方正小标宋简体"/>
          <w:b/>
          <w:bCs/>
          <w:color w:val="000000" w:themeColor="text1"/>
          <w:sz w:val="44"/>
          <w:szCs w:val="44"/>
          <w:highlight w:val="none"/>
          <w:lang w:val="en-US" w:eastAsia="zh-CN" w:bidi="ar"/>
          <w14:textFill>
            <w14:solidFill>
              <w14:schemeClr w14:val="tx1"/>
            </w14:solidFill>
          </w14:textFill>
        </w:rPr>
      </w:pPr>
      <w:r>
        <w:rPr>
          <w:rStyle w:val="6"/>
          <w:rFonts w:hint="eastAsia" w:ascii="方正小标宋简体" w:hAnsi="方正小标宋简体" w:eastAsia="方正小标宋简体" w:cs="方正小标宋简体"/>
          <w:b/>
          <w:bCs/>
          <w:color w:val="000000" w:themeColor="text1"/>
          <w:sz w:val="44"/>
          <w:szCs w:val="44"/>
          <w:highlight w:val="none"/>
          <w:lang w:val="en-US" w:eastAsia="zh-CN" w:bidi="ar"/>
          <w14:textFill>
            <w14:solidFill>
              <w14:schemeClr w14:val="tx1"/>
            </w14:solidFill>
          </w14:textFill>
        </w:rPr>
        <w:t>西昌学院各二级学院本科教育教学审核评估指标体系</w:t>
      </w:r>
    </w:p>
    <w:tbl>
      <w:tblPr>
        <w:tblStyle w:val="4"/>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5"/>
        <w:gridCol w:w="1581"/>
        <w:gridCol w:w="7919"/>
        <w:gridCol w:w="3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blHeader/>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t>一级指标</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t>二级指标</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t>审核重点</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1"/>
                <w:szCs w:val="21"/>
                <w:highlight w:val="none"/>
                <w:u w:val="none"/>
                <w:lang w:val="en-US" w:eastAsia="zh-CN" w:bidi="ar"/>
                <w14:textFill>
                  <w14:solidFill>
                    <w14:schemeClr w14:val="tx1"/>
                  </w14:solidFill>
                </w14:textFill>
              </w:rPr>
              <w:t>量化观测指标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办学方向</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与本科地位</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党的领导</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1.1.1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坚持党的全面领导，依法治教、依法办学、依法治院，围绕国家战略需求培养担当民族复兴大任的时代新人情况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1.1.2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坚持社会主义办学方向、贯彻落实立德树人根本任务、把立德树人成效作为检验学院一切工作根本标准情况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思政教育</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1.2.1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思想政治工作体系建设和</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三全育人</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工作格局建立情况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1.2.2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加强思想政治理论课教师队伍和思政课程建设情况，按要求开设</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习近平总书记关于教育的重要论述研究</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课程情况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1.2.3“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课程思政</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建设与成效，课程思政示范课程、课程思政教学研究示范中心以及课程思政教学名师和团队的建设及选树情况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1.2.4</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学院对教师、学生出现思想政治、道德品质等负面问题能否及时发现和妥当处置情况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本科地位</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1.3.1“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以本为本</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落实情况，学院党委重视、院长主抓、教师落实的本科教育良好氛围形成情况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1.3.2“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四个回归</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的实现情况，推进学生刻苦读书学习</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教师潜心教书育人</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学院倾心培养社会主义建设者和接班人等方面的举措与成效</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1.3.3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教学经费、教学资源条件、教师精力投入等优先保障本科教学的机制建设情况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1.3.4</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学院各科室、科研机构、实验室等部门服务本科教育教学工作情况，本科教育教学工作在学院年度考核中的比重情况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center"/>
              <w:textAlignment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center"/>
              <w:textAlignment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center"/>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培养过程</w:t>
            </w: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培养过程</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培养方案</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2.1.1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各专业培养目标符合学校定位</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适应社会经济发展需要</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体现学生德智体美劳全面发展情况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2.1.2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各专业培养方案符合国家专业类标准</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体现产出导向理念情况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【必选】学生毕业必须修满的公共艺术课程学分数</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学分</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【必选】劳动教育必修课或必修课程中劳动教育模块学时总数</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≥32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B2.1.3(B2)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培养方案强化实践教学、突出实验实训内容的基础性和应用性、注重培养学生应用能力情况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专业建设</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B2.2.1(B2)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专业设置、专业建设与国家需要、区域经济社会发展及产业发展对应用型人才需求、学校办学定位的契合情况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 xml:space="preserve">【必选】通过认证（评估）的专业占应参加认证专业总数的比例  </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 xml:space="preserve">【可选】近三年新增专业数   </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 xml:space="preserve">【可选】近三年停招专业数             </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【可选】近三年各专业招生人数动态变化情况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B 2.2.2 (B2)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围绕产业链、创新链建立自主性、灵活性与规范性、稳定性相统一的专业设置管理体系情况和本科专业结构优化调整机制建设情况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2.2.3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学院通过主辅修</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微专业和双学士学位培养等举措促进复合型人才培养情况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实践教学</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2.3.1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强化实践育人、构建实践教学体系</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推动实践教学改革情况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【必选】实践教学学分占总学分（学时）比例（人文社科类专业</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≥15%</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，理工农医类专业</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≥25%</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【必选】</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国家级、省级实践教学基地（包括实验教学示范中心</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虚拟仿真实验中心</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工程实践基地、农科教合作人才培养基地等）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B 2.3.2(B2)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学校与企业、行业单位共建实习实训基地情况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【可选】与行业企业共建的实验教学中心数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B 2.3.3 (B2)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毕业论文（设计）选题来自行业企业一线需要、实行校企</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双导师</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制情况及完成质量</w:t>
            </w:r>
          </w:p>
        </w:tc>
        <w:tc>
          <w:tcPr>
            <w:tcW w:w="1314" w:type="pct"/>
            <w:tcBorders>
              <w:top w:val="nil"/>
              <w:left w:val="nil"/>
              <w:bottom w:val="nil"/>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9"/>
                <w:rFonts w:hint="eastAsia" w:ascii="仿宋" w:hAnsi="仿宋" w:eastAsia="仿宋" w:cs="仿宋"/>
                <w:color w:val="000000" w:themeColor="text1"/>
                <w:sz w:val="21"/>
                <w:szCs w:val="21"/>
                <w:highlight w:val="none"/>
                <w:lang w:val="en-US" w:eastAsia="zh-CN" w:bidi="ar"/>
                <w14:textFill>
                  <w14:solidFill>
                    <w14:schemeClr w14:val="tx1"/>
                  </w14:solidFill>
                </w14:textFill>
              </w:rPr>
              <w:t>【必选】以实验、实习、工程实践和社会调查等实践性工作为基础的毕业论文（设计）比例</w:t>
            </w:r>
            <w:r>
              <w:rPr>
                <w:rStyle w:val="10"/>
                <w:rFonts w:hint="eastAsia" w:ascii="仿宋" w:hAnsi="仿宋" w:eastAsia="仿宋" w:cs="仿宋"/>
                <w:color w:val="000000" w:themeColor="text1"/>
                <w:sz w:val="21"/>
                <w:szCs w:val="21"/>
                <w:highlight w:val="none"/>
                <w:lang w:val="en-US" w:eastAsia="zh-CN" w:bidi="ar"/>
                <w14:textFill>
                  <w14:solidFill>
                    <w14:schemeClr w14:val="tx1"/>
                  </w14:solidFill>
                </w14:textFill>
              </w:rPr>
              <w:t>≥50%</w:t>
            </w:r>
            <w:r>
              <w:rPr>
                <w:rStyle w:val="10"/>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9"/>
                <w:rFonts w:hint="eastAsia" w:ascii="仿宋" w:hAnsi="仿宋" w:eastAsia="仿宋" w:cs="仿宋"/>
                <w:color w:val="000000" w:themeColor="text1"/>
                <w:sz w:val="21"/>
                <w:szCs w:val="21"/>
                <w:highlight w:val="none"/>
                <w:lang w:val="en-US" w:eastAsia="zh-CN" w:bidi="ar"/>
                <w14:textFill>
                  <w14:solidFill>
                    <w14:schemeClr w14:val="tx1"/>
                  </w14:solidFill>
                </w14:textFill>
              </w:rPr>
              <w:t>【必选】毕业论文（设计）质量评价、抽检情况及存在问题分析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center"/>
              <w:textAlignment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center"/>
              <w:textAlignment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center"/>
              <w:textAlignment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center"/>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培养过程</w:t>
            </w: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培养过程</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2.4</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课堂教学</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2.4.1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实施</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以学为中心、以教为主导</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的课堂教学，开展以学生学习成果为导向的教学评价情况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2.4.2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推进信息技术与教学过程融合</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、加强信息化教学环境与资源建设情况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2.4.3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建立健全教材管理机构和工作制度情况</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，依照教材审核选用标准和程序选用教材情况</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；推进马工程重点教材统一使用情</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况；对教材选用工作出现负面问题的处理情况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【必选】使用马工程重点教材课程数量与学院应使用马工程重点教材课程数量的比例</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【可选】近五年公开出版的教材数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K2.5</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卓越</w:t>
            </w:r>
          </w:p>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培养</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K2.5.1(K2)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产教融合卓越人才培养模式改革及其实践效果</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【可选】产学合作协同育人项目数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K2.5.2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加强课程体系整体设计</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优化公共课、专业基础课和专业课比例结构</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，提高课程建设规划性、系统性情况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i w:val="0"/>
                <w:iCs w:val="0"/>
                <w:color w:val="000000" w:themeColor="text1"/>
                <w:sz w:val="21"/>
                <w:szCs w:val="21"/>
                <w:highlight w:val="none"/>
                <w:u w:val="none"/>
                <w:lang w:val="en-US"/>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【必选】本科生生均课程门数</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【可选】与行业企业共建、共同讲授的课程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K2.5.3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新工科、新农科、新医科、新文科建设以及围绕</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培育高水平教学成果</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开展教研教改项目建设的举措及实施成效</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K2.5.4</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一流专业</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双万计划</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建设举措及成效</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K2.5.5</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一流课程</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双万计划</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建设举措及成效</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K2.5.6</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优秀教材建设举措及成效</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2.6</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创新创业</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教育</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2.6.1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创新创业教育工作体系与创新创业教育平台建设情况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2.6.2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将创新创业教育贯穿于人才培养全过程</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、融入专业教育的举措与成效</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2.6.3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学生参与创新创业教育积极性及创新创业教育成果</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【必选】本科生参加各级各类创新创业实践活动人数及比例</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【必选】</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互联网</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大学生创新创业大赛获奖数</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【可选】省级以上学科竞赛获奖学生人次数占学生总数的比例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教学资源</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与利用</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3.2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资源建设</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B 3.2.1(B2)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行业企业课程资源库、真实项目案例库建设及共享情况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B 3.2.2(B2)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面向行业企业实际、产业发展需要的应用型教材建设情况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 3.2.3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适应</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互联网</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课程教学需要，使用智慧教室、智能实验室等教学设施的效果</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K3.2.4(K2)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产业技术发展成果、产学研合作项目转化为教学资源情况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center"/>
              <w:textAlignment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center"/>
              <w:textAlignment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center"/>
              <w:textAlignment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center"/>
              <w:textAlignment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center"/>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4.</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教师队伍</w:t>
            </w: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4.</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教师队伍</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4.1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师德师风</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4.1.1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保障把教师思想政治建设放在首位</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、把师德师风作为评价教师的第一标准</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，强化师德教育、加强师德宣传、严格考核管理</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、加强制度建设</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，落实师德考核贯穿于教育教学全过程等方面的情况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4.1.2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教师在争做</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四有</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好老师、四个</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引路人</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自觉遵守《新时代高校教师职业行为十项准则》等方面的情况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4.2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教学能力</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B4.2.1(B2)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专任教师的专业水平、教学能力、产学研用（创）能力</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【必选】省级及以上教学竞赛获奖情况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4.2.2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提升教师教书育人能力和水平的措施</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4.3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教学投入</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4.3.1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教师投入教学、教授全员为本科生授课的激励与约束机制建立情况及实施效果</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【必选】主讲本科课程教授占教授总数的比例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4.3.2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教师特别是教授和副教授开展教学研究</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、参与教学改革与建设情况及成效</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【必选】教授、副教授担任专业负责人的专业占专业总数的比例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4.4</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教师发展</w:t>
            </w:r>
          </w:p>
          <w:p>
            <w:pPr>
              <w:keepNext w:val="0"/>
              <w:keepLines w:val="0"/>
              <w:widowControl/>
              <w:suppressLineNumbers w:val="0"/>
              <w:jc w:val="center"/>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4.4</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教师发展</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4.4.1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重视教师培训与职业发展</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把习近平总书记关于教育的重要论述作为核心培训课程</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把《习近平总书记教育重要论述讲义》作为核心培训教材</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加强思政与党务工作队伍建设的举措与成效</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4.4.2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加强教师教学发展分中心</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基层教学组织和青年教师队伍建设举措与成效</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【必选】设有基层教学组织的专业占专业总数的比例</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【可选】学院教师参加培训的比例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B4.4.3(B2)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提升教师教学能力、产学研用能力、信息技术应用能力，鼓励教师到业界实践、挂职和承担横向课题的政策措施</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B4.4.4(B2)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双师双能型教师队伍和实践教学教师队伍管理与建设情况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【必选】专任教师中双师双能型教师的比例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K4.4.5</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教师赴国（境）外交流、访学、参加国际会议、合作研究等情况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1"/>
              </w:numPr>
              <w:suppressLineNumbers w:val="0"/>
              <w:jc w:val="center"/>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学生发展</w:t>
            </w: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5.</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学生发展</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5.1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理想信念</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5.1.1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学生理想信念和品德修养</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5.1.2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加强学风建设，教育引导学生爱国</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、励志、求真、力行情况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5.2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学业成绩</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及综合素质</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B5.2.1 (B2)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学生综合应用知识能力和独立解决生产、管理和服务中实际问题能力</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【可选】在学期间获得国家认可的职业资格证书学生数占在校生数的比例</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【可选】本科生以第一作者/通讯作者在公开发行期刊发表的论文数和本科生获批国家发明专利数</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【可选】生均获省级及以上各类竞赛、专业比赛(艺术类、体育类专业)奖励数</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【可选】生均创作、表演的代表性作品数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5.2.2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开展通识教育、体育、美育、劳动教育的措施与成效</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【必选】体质测试达标率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5.2.3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社团活动、校园文化、社会实践、志愿服务等活动开展情况及育人效果</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【可选】省级以上艺术展演</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、体育竞赛参赛获奖学生人次数占学生总数的比例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 5.3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国际视</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br w:type="textWrapping"/>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野</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K5.3.1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与国（境）外大学合作办学</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、合作育人以及与本科教育相关的国际交流活动和来华留学生教育开展情况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K5.3.2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国际先进教育理念</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、优质教育资源的吸收内化</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、培育和输出共享情况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K5.3.3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学生赴国(境)外交流、访学、实习、竞赛、参加国际会议、合作研究等情况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【可选】在学期间赴国（境）外交流、访学、实习的学生数占在校生数的比例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5.4</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支持服务</w:t>
            </w:r>
          </w:p>
          <w:p>
            <w:pPr>
              <w:keepNext w:val="0"/>
              <w:keepLines w:val="0"/>
              <w:widowControl/>
              <w:suppressLineNumbers w:val="0"/>
              <w:jc w:val="both"/>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both"/>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center"/>
              <w:textAlignment w:val="cente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5.4</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支持服务</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5.4.1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学院领导干部和教师参与学生工作的情况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5.4.2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开展学生指导服务工作（学业、职业生涯规划、就业、家庭经济困难学生资助</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、心理健康咨询等）情况，学业导师、心理辅导教师等配备及师生交流活动专门场所建设情况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【必选】专职辅导员岗位与在校生比例</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5.4.3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与学分制改革和弹性学习相适应的管理制度</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辅修专业制度、双学士学位制度建设情况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K5.4.4</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探索学生成长增值评价</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重视学生学习体验</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自我发展能力和职业发展能力的具体措施及实施成效</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6.</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质量保障</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6.1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质量管理</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6.1.1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质量标准、质量管理制度、质量保障机构及队伍建设情况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6.1.2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加强考试管理、严肃考试纪律、完善过程性考核与结果性考核有机结合的学业考评制度</w:t>
            </w: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 xml:space="preserve"> </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、严把考试和毕业出口关的情况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6.2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质量改进</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6.2.1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内部质量评估制度的建立及接受外部评估（含专业评估、专业认证等）情况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6.2.2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质量持续改进机制建设与改进效果</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6.3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质量文化</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6.3.1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自觉、自省、自律、自查、自纠的质量文化建设情况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6.3.2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质量信息公开制度及年度质量报告</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pPr>
          </w:p>
          <w:p>
            <w:pPr>
              <w:keepNext w:val="0"/>
              <w:keepLines w:val="0"/>
              <w:widowControl/>
              <w:suppressLineNumbers w:val="0"/>
              <w:jc w:val="both"/>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教学成效</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达成度</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7.1.1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各专业人才培养目标的达成情况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7.1.2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毕业生质量持续跟踪评价机制建立情况及跟踪评价结果</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适应度</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7.2.1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本科生源状况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B 7.2.2 (B2)</w:t>
            </w:r>
            <w:r>
              <w:rPr>
                <w:rStyle w:val="6"/>
                <w:rFonts w:hint="eastAsia" w:ascii="仿宋" w:hAnsi="仿宋" w:eastAsia="仿宋" w:cs="仿宋"/>
                <w:color w:val="000000" w:themeColor="text1"/>
                <w:sz w:val="21"/>
                <w:szCs w:val="21"/>
                <w:highlight w:val="none"/>
                <w:lang w:val="en-US" w:eastAsia="zh-CN" w:bidi="ar"/>
                <w14:textFill>
                  <w14:solidFill>
                    <w14:schemeClr w14:val="tx1"/>
                  </w14:solidFill>
                </w14:textFill>
              </w:rPr>
              <w:t>毕业生面向学校所服务的区域和行业企业就业情况、就业质量及职业发展情况</w:t>
            </w:r>
          </w:p>
        </w:tc>
        <w:tc>
          <w:tcPr>
            <w:tcW w:w="1314" w:type="pct"/>
            <w:tcBorders>
              <w:top w:val="nil"/>
              <w:left w:val="nil"/>
              <w:bottom w:val="nil"/>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【可选】升学率（含国内与国外）</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【可选】应届本科生初次就业率及结构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保障度</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7.3.1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教学经费以及教室、实验室、艺术场馆等资源条件满足教学需要情况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7.3.2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教师的数量、结构、教学水平、产学研用能力、国际视野、教学投入等满足人才培养需要情况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【必选】生师比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7.4</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有效度</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7.4.1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学院人才培养各环节有序运行情况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7.4.2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学院人才培养工作持续改进、持续提升情况</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7.4.3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学院近五年专业领域的优秀毕业生典型案例及培养经验</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7.5</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满意度</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7.5.1</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学院学生（毕业生与在校生）对学习与成长的满意度</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7.5.2</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学院教师对学院教育教学工作的满意度</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themeColor="text1"/>
                <w:sz w:val="21"/>
                <w:szCs w:val="21"/>
                <w:highlight w:val="none"/>
                <w:u w:val="none"/>
                <w14:textFill>
                  <w14:solidFill>
                    <w14:schemeClr w14:val="tx1"/>
                  </w14:solidFill>
                </w14:textFill>
              </w:rPr>
            </w:pPr>
            <w:r>
              <w:rPr>
                <w:rStyle w:val="7"/>
                <w:rFonts w:hint="eastAsia" w:ascii="仿宋" w:hAnsi="仿宋" w:eastAsia="仿宋" w:cs="仿宋"/>
                <w:color w:val="000000" w:themeColor="text1"/>
                <w:sz w:val="21"/>
                <w:szCs w:val="21"/>
                <w:highlight w:val="none"/>
                <w:lang w:val="en-US" w:eastAsia="zh-CN" w:bidi="ar"/>
                <w14:textFill>
                  <w14:solidFill>
                    <w14:schemeClr w14:val="tx1"/>
                  </w14:solidFill>
                </w14:textFill>
              </w:rPr>
              <w:t>7.5.3</w:t>
            </w:r>
            <w:r>
              <w:rPr>
                <w:rStyle w:val="8"/>
                <w:rFonts w:hint="eastAsia" w:ascii="仿宋" w:hAnsi="仿宋" w:eastAsia="仿宋" w:cs="仿宋"/>
                <w:color w:val="000000" w:themeColor="text1"/>
                <w:sz w:val="21"/>
                <w:szCs w:val="21"/>
                <w:highlight w:val="none"/>
                <w:lang w:val="en-US" w:eastAsia="zh-CN" w:bidi="ar"/>
                <w14:textFill>
                  <w14:solidFill>
                    <w14:schemeClr w14:val="tx1"/>
                  </w14:solidFill>
                </w14:textFill>
              </w:rPr>
              <w:t>学院用人单位的满意度</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themeColor="text1"/>
                <w:sz w:val="21"/>
                <w:szCs w:val="21"/>
                <w:highlight w:val="none"/>
                <w:u w:val="none"/>
                <w14:textFill>
                  <w14:solidFill>
                    <w14:schemeClr w14:val="tx1"/>
                  </w14:solidFill>
                </w14:textFill>
              </w:rPr>
            </w:pPr>
          </w:p>
        </w:tc>
      </w:tr>
    </w:tbl>
    <w:p>
      <w:pPr>
        <w:rPr>
          <w:color w:val="000000" w:themeColor="text1"/>
          <w:highlight w:val="none"/>
          <w14:textFill>
            <w14:solidFill>
              <w14:schemeClr w14:val="tx1"/>
            </w14:solidFill>
          </w14:textFill>
        </w:rPr>
      </w:pPr>
    </w:p>
    <w:sectPr>
      <w:footerReference r:id="rId3" w:type="default"/>
      <w:pgSz w:w="16838" w:h="11906" w:orient="landscape"/>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19D882C3-BA7A-47E0-B8E4-7D27540C1B4A}"/>
  </w:font>
  <w:font w:name="方正小标宋简体">
    <w:panose1 w:val="02000000000000000000"/>
    <w:charset w:val="86"/>
    <w:family w:val="auto"/>
    <w:pitch w:val="default"/>
    <w:sig w:usb0="A00002BF" w:usb1="184F6CFA" w:usb2="00000012" w:usb3="00000000" w:csb0="00040001" w:csb1="00000000"/>
    <w:embedRegular r:id="rId2" w:fontKey="{D1884E3B-CCCC-46BB-8575-269F7FC468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6D1AD"/>
    <w:multiLevelType w:val="singleLevel"/>
    <w:tmpl w:val="AE66D1AD"/>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DQ3NmVhODQwNTkyNGY3Yjk1ZThlYzMwZmUwMGQifQ=="/>
  </w:docVars>
  <w:rsids>
    <w:rsidRoot w:val="072A4FEF"/>
    <w:rsid w:val="00403B3F"/>
    <w:rsid w:val="004C0647"/>
    <w:rsid w:val="007B6729"/>
    <w:rsid w:val="01425802"/>
    <w:rsid w:val="017609CF"/>
    <w:rsid w:val="03F52051"/>
    <w:rsid w:val="04285AC0"/>
    <w:rsid w:val="06BC15FC"/>
    <w:rsid w:val="070A4855"/>
    <w:rsid w:val="072A4FEF"/>
    <w:rsid w:val="07B334F5"/>
    <w:rsid w:val="08F62D8C"/>
    <w:rsid w:val="093E0DD2"/>
    <w:rsid w:val="097A3515"/>
    <w:rsid w:val="097E3983"/>
    <w:rsid w:val="09A809E6"/>
    <w:rsid w:val="09B8442E"/>
    <w:rsid w:val="0A564AE8"/>
    <w:rsid w:val="0BA33C72"/>
    <w:rsid w:val="0C9F0B19"/>
    <w:rsid w:val="0CC55CC2"/>
    <w:rsid w:val="0D4142ED"/>
    <w:rsid w:val="0E330F57"/>
    <w:rsid w:val="0E6F7E8A"/>
    <w:rsid w:val="0EBC370B"/>
    <w:rsid w:val="0F4D25AE"/>
    <w:rsid w:val="0FCC53D7"/>
    <w:rsid w:val="0FE37FE8"/>
    <w:rsid w:val="11385A4E"/>
    <w:rsid w:val="114E4436"/>
    <w:rsid w:val="11521A85"/>
    <w:rsid w:val="12376517"/>
    <w:rsid w:val="12C40BBC"/>
    <w:rsid w:val="15185446"/>
    <w:rsid w:val="159E706E"/>
    <w:rsid w:val="16222B95"/>
    <w:rsid w:val="16307641"/>
    <w:rsid w:val="166B4816"/>
    <w:rsid w:val="17C94E46"/>
    <w:rsid w:val="186A3BEB"/>
    <w:rsid w:val="186B51E9"/>
    <w:rsid w:val="18BD19B6"/>
    <w:rsid w:val="19015BAE"/>
    <w:rsid w:val="190D6A7E"/>
    <w:rsid w:val="197A257B"/>
    <w:rsid w:val="1A476091"/>
    <w:rsid w:val="1BDE0159"/>
    <w:rsid w:val="1CD16A05"/>
    <w:rsid w:val="1CE343B6"/>
    <w:rsid w:val="1D6856EF"/>
    <w:rsid w:val="1DB32321"/>
    <w:rsid w:val="1E1D4CCB"/>
    <w:rsid w:val="1EDA0B89"/>
    <w:rsid w:val="1F087143"/>
    <w:rsid w:val="1F6806D6"/>
    <w:rsid w:val="1FAD2A59"/>
    <w:rsid w:val="20390D90"/>
    <w:rsid w:val="21571902"/>
    <w:rsid w:val="21BA5363"/>
    <w:rsid w:val="22731D41"/>
    <w:rsid w:val="22B906F2"/>
    <w:rsid w:val="22E865C0"/>
    <w:rsid w:val="23925532"/>
    <w:rsid w:val="243B541D"/>
    <w:rsid w:val="256847EC"/>
    <w:rsid w:val="25D6049B"/>
    <w:rsid w:val="275E5831"/>
    <w:rsid w:val="28F311A1"/>
    <w:rsid w:val="2A6D01B9"/>
    <w:rsid w:val="2AB852E5"/>
    <w:rsid w:val="2B2D3652"/>
    <w:rsid w:val="2B8A099D"/>
    <w:rsid w:val="2C3776CA"/>
    <w:rsid w:val="2CF75331"/>
    <w:rsid w:val="2E3E33C2"/>
    <w:rsid w:val="2E7E44CA"/>
    <w:rsid w:val="2F5C7FF7"/>
    <w:rsid w:val="2F712977"/>
    <w:rsid w:val="2F8F6F93"/>
    <w:rsid w:val="2FF40230"/>
    <w:rsid w:val="303E2DAB"/>
    <w:rsid w:val="306F1026"/>
    <w:rsid w:val="31822753"/>
    <w:rsid w:val="31C21FAE"/>
    <w:rsid w:val="32385484"/>
    <w:rsid w:val="328F7EA4"/>
    <w:rsid w:val="331A0EBA"/>
    <w:rsid w:val="3347665C"/>
    <w:rsid w:val="33B14D4F"/>
    <w:rsid w:val="341A1A2A"/>
    <w:rsid w:val="34727FAF"/>
    <w:rsid w:val="34D94AA0"/>
    <w:rsid w:val="35385768"/>
    <w:rsid w:val="35812566"/>
    <w:rsid w:val="35DA1597"/>
    <w:rsid w:val="36C406AC"/>
    <w:rsid w:val="388B7E97"/>
    <w:rsid w:val="38FC7299"/>
    <w:rsid w:val="39B13730"/>
    <w:rsid w:val="3A705199"/>
    <w:rsid w:val="3AA26C74"/>
    <w:rsid w:val="3AC06990"/>
    <w:rsid w:val="3B682CD3"/>
    <w:rsid w:val="3BCA64B3"/>
    <w:rsid w:val="3D034170"/>
    <w:rsid w:val="3D4526C1"/>
    <w:rsid w:val="3DB5282F"/>
    <w:rsid w:val="3EB34D8F"/>
    <w:rsid w:val="3F49650A"/>
    <w:rsid w:val="3FDA15FD"/>
    <w:rsid w:val="40443D78"/>
    <w:rsid w:val="41C84E79"/>
    <w:rsid w:val="41CC7B7B"/>
    <w:rsid w:val="41F93DF8"/>
    <w:rsid w:val="41FB0378"/>
    <w:rsid w:val="42380450"/>
    <w:rsid w:val="427C4A14"/>
    <w:rsid w:val="42926C80"/>
    <w:rsid w:val="441D3176"/>
    <w:rsid w:val="444E1456"/>
    <w:rsid w:val="462C7D62"/>
    <w:rsid w:val="46945F41"/>
    <w:rsid w:val="46B958D6"/>
    <w:rsid w:val="46BD68F1"/>
    <w:rsid w:val="46E841F3"/>
    <w:rsid w:val="46FC4178"/>
    <w:rsid w:val="471C182A"/>
    <w:rsid w:val="479E0CFF"/>
    <w:rsid w:val="47F73FCB"/>
    <w:rsid w:val="48462F58"/>
    <w:rsid w:val="499419D1"/>
    <w:rsid w:val="4995462B"/>
    <w:rsid w:val="4A272033"/>
    <w:rsid w:val="4AC230EC"/>
    <w:rsid w:val="4B5D2139"/>
    <w:rsid w:val="4B96073D"/>
    <w:rsid w:val="4BA67563"/>
    <w:rsid w:val="4BB872AC"/>
    <w:rsid w:val="4BBC368F"/>
    <w:rsid w:val="4CC170D4"/>
    <w:rsid w:val="4D1F6628"/>
    <w:rsid w:val="4D770C0E"/>
    <w:rsid w:val="4DAA533E"/>
    <w:rsid w:val="4E207CF7"/>
    <w:rsid w:val="4E4C07C0"/>
    <w:rsid w:val="4EB262FD"/>
    <w:rsid w:val="4F7707F8"/>
    <w:rsid w:val="4FB52FBE"/>
    <w:rsid w:val="50F64A36"/>
    <w:rsid w:val="51026B9C"/>
    <w:rsid w:val="513A2B29"/>
    <w:rsid w:val="525F0D03"/>
    <w:rsid w:val="52D063DA"/>
    <w:rsid w:val="52EF48A3"/>
    <w:rsid w:val="53006D9D"/>
    <w:rsid w:val="541F1190"/>
    <w:rsid w:val="55C6120F"/>
    <w:rsid w:val="569C036B"/>
    <w:rsid w:val="574379BB"/>
    <w:rsid w:val="58AB6E2E"/>
    <w:rsid w:val="5A146454"/>
    <w:rsid w:val="5AC23840"/>
    <w:rsid w:val="5B8C0794"/>
    <w:rsid w:val="5C6C52EB"/>
    <w:rsid w:val="5CDB69A3"/>
    <w:rsid w:val="5D4C4F3C"/>
    <w:rsid w:val="5D656640"/>
    <w:rsid w:val="5E6F6483"/>
    <w:rsid w:val="5E9B58F3"/>
    <w:rsid w:val="5F9D4612"/>
    <w:rsid w:val="60244A81"/>
    <w:rsid w:val="61023214"/>
    <w:rsid w:val="62003D67"/>
    <w:rsid w:val="621F43E9"/>
    <w:rsid w:val="629A3E5B"/>
    <w:rsid w:val="630D436E"/>
    <w:rsid w:val="63C2192A"/>
    <w:rsid w:val="645E674D"/>
    <w:rsid w:val="64D058E3"/>
    <w:rsid w:val="65923A34"/>
    <w:rsid w:val="659955CD"/>
    <w:rsid w:val="66C16CD5"/>
    <w:rsid w:val="6748152B"/>
    <w:rsid w:val="675E14BD"/>
    <w:rsid w:val="67A3568B"/>
    <w:rsid w:val="67DA7BAC"/>
    <w:rsid w:val="67FB1CCD"/>
    <w:rsid w:val="683B1A35"/>
    <w:rsid w:val="68854768"/>
    <w:rsid w:val="6938470E"/>
    <w:rsid w:val="69B121AA"/>
    <w:rsid w:val="6A2A694F"/>
    <w:rsid w:val="6A4019AB"/>
    <w:rsid w:val="6B026998"/>
    <w:rsid w:val="6B295B23"/>
    <w:rsid w:val="6B7E62C0"/>
    <w:rsid w:val="6BCE23C4"/>
    <w:rsid w:val="6C2F7FB4"/>
    <w:rsid w:val="6CA268FA"/>
    <w:rsid w:val="6CBD42C0"/>
    <w:rsid w:val="6E26173E"/>
    <w:rsid w:val="6E620B1C"/>
    <w:rsid w:val="6EE346C1"/>
    <w:rsid w:val="6FC92092"/>
    <w:rsid w:val="6FDF73C7"/>
    <w:rsid w:val="700C4F3A"/>
    <w:rsid w:val="70614CC7"/>
    <w:rsid w:val="7176460C"/>
    <w:rsid w:val="71E63B5A"/>
    <w:rsid w:val="72257D54"/>
    <w:rsid w:val="728C0FA5"/>
    <w:rsid w:val="75121D63"/>
    <w:rsid w:val="75E26E98"/>
    <w:rsid w:val="760C5309"/>
    <w:rsid w:val="761665D7"/>
    <w:rsid w:val="761A308F"/>
    <w:rsid w:val="776E39F1"/>
    <w:rsid w:val="779573BD"/>
    <w:rsid w:val="77A749F3"/>
    <w:rsid w:val="77C9388C"/>
    <w:rsid w:val="781D3C3F"/>
    <w:rsid w:val="782347DB"/>
    <w:rsid w:val="78E430E8"/>
    <w:rsid w:val="7B792F43"/>
    <w:rsid w:val="7BE044B7"/>
    <w:rsid w:val="7C106977"/>
    <w:rsid w:val="7DB821F3"/>
    <w:rsid w:val="7F243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0"/>
      <w:szCs w:val="20"/>
      <w:u w:val="none"/>
    </w:rPr>
  </w:style>
  <w:style w:type="character" w:customStyle="1" w:styleId="7">
    <w:name w:val="font21"/>
    <w:basedOn w:val="5"/>
    <w:qFormat/>
    <w:uiPriority w:val="0"/>
    <w:rPr>
      <w:rFonts w:ascii="微软雅黑" w:hAnsi="微软雅黑" w:eastAsia="微软雅黑" w:cs="微软雅黑"/>
      <w:color w:val="000000"/>
      <w:sz w:val="20"/>
      <w:szCs w:val="20"/>
      <w:u w:val="none"/>
    </w:rPr>
  </w:style>
  <w:style w:type="character" w:customStyle="1" w:styleId="8">
    <w:name w:val="font51"/>
    <w:basedOn w:val="5"/>
    <w:qFormat/>
    <w:uiPriority w:val="0"/>
    <w:rPr>
      <w:rFonts w:hint="eastAsia" w:ascii="Microsoft YaHei UI" w:hAnsi="Microsoft YaHei UI" w:eastAsia="Microsoft YaHei UI" w:cs="Microsoft YaHei UI"/>
      <w:color w:val="000000"/>
      <w:sz w:val="20"/>
      <w:szCs w:val="20"/>
      <w:u w:val="none"/>
    </w:rPr>
  </w:style>
  <w:style w:type="character" w:customStyle="1" w:styleId="9">
    <w:name w:val="font71"/>
    <w:basedOn w:val="5"/>
    <w:qFormat/>
    <w:uiPriority w:val="0"/>
    <w:rPr>
      <w:rFonts w:hint="eastAsia" w:ascii="宋体" w:hAnsi="宋体" w:eastAsia="宋体" w:cs="宋体"/>
      <w:color w:val="000000"/>
      <w:sz w:val="20"/>
      <w:szCs w:val="20"/>
      <w:u w:val="none"/>
    </w:rPr>
  </w:style>
  <w:style w:type="character" w:customStyle="1" w:styleId="10">
    <w:name w:val="font81"/>
    <w:basedOn w:val="5"/>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3757</Words>
  <Characters>4210</Characters>
  <Lines>0</Lines>
  <Paragraphs>0</Paragraphs>
  <TotalTime>0</TotalTime>
  <ScaleCrop>false</ScaleCrop>
  <LinksUpToDate>false</LinksUpToDate>
  <CharactersWithSpaces>4270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2024-09-20T03:03:00Z</dcterms:created>
  <dc:creator>海来伍加</dc:creator>
  <cp:lastModifiedBy>郭秋滟</cp:lastModifiedBy>
  <cp:lastPrinted>2024-09-20T03:22:00Z</cp:lastPrinted>
  <dcterms:modified xsi:type="dcterms:W3CDTF">2024-10-02T14:35:59Z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EB61D57C65E3451186E46CC492CCD029_13</vt:lpwstr>
  </property>
</Properties>
</file>